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Top 10 Private Credit Jobs for Undergrads in 2026</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the 10 private credit jobs undergrads can get in 2026: who hires, what each seat pays, and which convert to investing roles.</w:t>
      </w:r>
    </w:p>
    <w:p>
      <w:pPr>
        <w:spacing w:line="480" w:lineRule="auto" w:before="0" w:after="0"/>
      </w:pPr>
      <w:r>
        <w:rPr>
          <w:rFonts w:ascii="Arial" w:hAnsi="Arial" w:cs="Arial" w:eastAsia="Arial"/>
          <w:b w:val="0"/>
          <w:color w:val="000000"/>
          <w:sz w:val="22"/>
          <w:u w:val="none"/>
        </w:rPr>
        <w:t>Private credit passed $1.7 trillion in assets while its campus recruiting stayed a fraction of banking's, which produces a strange market: real investing seats with thinner applicant pools than any comparable job in finance.</w:t>
      </w:r>
    </w:p>
    <w:p>
      <w:pPr>
        <w:spacing w:line="480" w:lineRule="auto" w:before="0" w:after="0"/>
      </w:pPr>
      <w:r>
        <w:rPr>
          <w:rFonts w:ascii="Arial" w:hAnsi="Arial" w:cs="Arial" w:eastAsia="Arial"/>
          <w:b w:val="0"/>
          <w:color w:val="000000"/>
          <w:sz w:val="22"/>
          <w:u w:val="none"/>
        </w:rPr>
        <w:t xml:space="preserve">The catch is that "private credit jobs" isn't one job. Some seats on this list are direct-entry investing roles where you underwrite loans at 22. Others are feeder seats that convert into investing roles after two years. A couple are side doors. </w:t>
      </w:r>
      <w:r>
        <w:rPr>
          <w:rFonts w:ascii="Arial" w:hAnsi="Arial" w:cs="Arial" w:eastAsia="Arial"/>
          <w:b/>
          <w:color w:val="000000"/>
          <w:sz w:val="22"/>
          <w:u w:val="none"/>
        </w:rPr>
        <w:t>The ranking below orders all 10 by how directly each seat leads to a credit investing career, because that's the variable that should drive your applications.</w:t>
      </w:r>
    </w:p>
    <w:p>
      <w:pPr>
        <w:spacing w:line="480" w:lineRule="auto" w:before="0" w:after="0"/>
      </w:pPr>
      <w:r>
        <w:rPr>
          <w:rFonts w:ascii="Arial" w:hAnsi="Arial" w:cs="Arial" w:eastAsia="Arial"/>
          <w:b/>
          <w:color w:val="000000"/>
          <w:sz w:val="36"/>
          <w:u w:val="none"/>
        </w:rPr>
        <w:t>Can undergrads really get hired directly into private credit?</w:t>
      </w:r>
    </w:p>
    <w:p>
      <w:pPr>
        <w:spacing w:line="480" w:lineRule="auto" w:before="0" w:after="0"/>
      </w:pPr>
      <w:r>
        <w:rPr>
          <w:rFonts w:ascii="Arial" w:hAnsi="Arial" w:cs="Arial" w:eastAsia="Arial"/>
          <w:b w:val="0"/>
          <w:color w:val="000000"/>
          <w:sz w:val="22"/>
          <w:u w:val="none"/>
        </w:rPr>
        <w:t>Yes. Apollo, Blackstone, KKR, Ares, and Carlyle hire undergrad Summer Analysts onto credit teams through the same application portals as their PE programs, and dedicated lenders like Golub Capital run their own analyst intakes [VERIFY: current program pages]. Credit classes run roughly 15 to 40 seats per firm against 100-plus for IB at the banks.</w:t>
      </w:r>
    </w:p>
    <w:p>
      <w:pPr>
        <w:spacing w:line="480" w:lineRule="auto" w:before="0" w:after="0"/>
      </w:pPr>
      <w:r>
        <w:rPr>
          <w:rFonts w:ascii="Arial" w:hAnsi="Arial" w:cs="Arial" w:eastAsia="Arial"/>
          <w:b/>
          <w:color w:val="000000"/>
          <w:sz w:val="36"/>
          <w:u w:val="none"/>
        </w:rPr>
        <w:t>What do private credit jobs pay out of undergrad?</w:t>
      </w:r>
    </w:p>
    <w:p>
      <w:pPr>
        <w:spacing w:line="480" w:lineRule="auto" w:before="0" w:after="0"/>
      </w:pPr>
      <w:r>
        <w:rPr>
          <w:rFonts w:ascii="Arial" w:hAnsi="Arial" w:cs="Arial" w:eastAsia="Arial"/>
          <w:b w:val="0"/>
          <w:color w:val="000000"/>
          <w:sz w:val="22"/>
          <w:u w:val="none"/>
        </w:rPr>
        <w:t>Fund-side analysts start at $130,000 to $150,000 base with bonuses of $50,000 to $100,000 [VERIFY: 2026 comp]. Bank seats pay the IB scale. Ratings agencies pay materially less. Item-by-item numbers below, and the full ladder is in our Private Credit Salary 2026 breakdown.</w:t>
      </w:r>
    </w:p>
    <w:p>
      <w:pPr>
        <w:spacing w:line="480" w:lineRule="auto" w:before="0" w:after="0"/>
      </w:pPr>
      <w:r>
        <w:rPr>
          <w:rFonts w:ascii="Arial" w:hAnsi="Arial" w:cs="Arial" w:eastAsia="Arial"/>
          <w:b/>
          <w:color w:val="000000"/>
          <w:sz w:val="36"/>
          <w:u w:val="none"/>
        </w:rPr>
        <w:t>Direct-entry investing seats</w:t>
      </w:r>
    </w:p>
    <w:p>
      <w:pPr>
        <w:spacing w:line="480" w:lineRule="auto" w:before="0" w:after="0"/>
      </w:pPr>
      <w:r>
        <w:rPr>
          <w:rFonts w:ascii="Arial" w:hAnsi="Arial" w:cs="Arial" w:eastAsia="Arial"/>
          <w:b/>
          <w:color w:val="000000"/>
          <w:sz w:val="28"/>
          <w:u w:val="single"/>
        </w:rPr>
        <w:t>1. Mega-fund credit arm Summer Analyst</w:t>
      </w:r>
    </w:p>
    <w:p>
      <w:pPr>
        <w:spacing w:line="480" w:lineRule="auto" w:before="0" w:after="0"/>
      </w:pPr>
      <w:r>
        <w:rPr>
          <w:rFonts w:ascii="Arial" w:hAnsi="Arial" w:cs="Arial" w:eastAsia="Arial"/>
          <w:b/>
          <w:color w:val="000000"/>
          <w:sz w:val="22"/>
          <w:u w:val="none"/>
        </w:rPr>
        <w:t>The credit Summer Analyst programs at Apollo, Blackstone, KKR, Ares, and Carlyle are the most direct doors into private credit that exist for undergrads.</w:t>
      </w:r>
    </w:p>
    <w:p>
      <w:pPr>
        <w:spacing w:line="480" w:lineRule="auto" w:before="0" w:after="0"/>
      </w:pPr>
      <w:r>
        <w:rPr>
          <w:rFonts w:ascii="Arial" w:hAnsi="Arial" w:cs="Arial" w:eastAsia="Arial"/>
          <w:b w:val="0"/>
          <w:color w:val="000000"/>
          <w:sz w:val="22"/>
          <w:u w:val="none"/>
        </w:rPr>
        <w:t>These run through the same recruiting portals and sophomore-fall timelines as each firm's PE programs, with the internship the following junior summer and return offers deciding most full-time seats. The work mirrors the full-time analyst job at intern scale: model support on live underwritings, portfolio company monitoring, and drafting sections of investment memos. At most of these firms you apply to the credit business specifically, so the "which strategy" decision happens at the application stage, not after the offer [VERIFY: application structure by firm].</w:t>
      </w:r>
    </w:p>
    <w:p>
      <w:pPr>
        <w:pStyle w:val="ListBullet"/>
        <w:spacing w:line="480" w:lineRule="auto" w:before="0" w:after="0"/>
      </w:pPr>
      <w:r>
        <w:rPr>
          <w:rFonts w:ascii="Arial" w:hAnsi="Arial" w:cs="Arial" w:eastAsia="Arial"/>
          <w:b w:val="0"/>
          <w:color w:val="000000"/>
          <w:sz w:val="22"/>
          <w:u w:val="none"/>
        </w:rPr>
        <w:t>Who hires: Apollo Credit, Blackstone Credit, KKR Credit, Ares, Carlyle Credit</w:t>
      </w:r>
    </w:p>
    <w:p>
      <w:pPr>
        <w:pStyle w:val="ListBullet"/>
        <w:spacing w:line="480" w:lineRule="auto" w:before="0" w:after="0"/>
      </w:pPr>
      <w:r>
        <w:rPr>
          <w:rFonts w:ascii="Arial" w:hAnsi="Arial" w:cs="Arial" w:eastAsia="Arial"/>
          <w:b w:val="0"/>
          <w:color w:val="000000"/>
          <w:sz w:val="22"/>
          <w:u w:val="none"/>
        </w:rPr>
        <w:t>Entry: Sophomore-fall applications for junior-summer internships [VERIFY: cycle dates]</w:t>
      </w:r>
    </w:p>
    <w:p>
      <w:pPr>
        <w:pStyle w:val="ListBullet"/>
        <w:spacing w:line="480" w:lineRule="auto" w:before="0" w:after="0"/>
      </w:pPr>
      <w:r>
        <w:rPr>
          <w:rFonts w:ascii="Arial" w:hAnsi="Arial" w:cs="Arial" w:eastAsia="Arial"/>
          <w:b w:val="0"/>
          <w:color w:val="000000"/>
          <w:sz w:val="22"/>
          <w:u w:val="none"/>
        </w:rPr>
        <w:t>Comp: Pro-rated analyst scale, roughly $2,500 per week [VERIFY]</w:t>
      </w:r>
    </w:p>
    <w:p>
      <w:pPr>
        <w:pStyle w:val="ListBullet"/>
        <w:spacing w:line="480" w:lineRule="auto" w:before="0" w:after="0"/>
      </w:pPr>
      <w:r>
        <w:rPr>
          <w:rFonts w:ascii="Arial" w:hAnsi="Arial" w:cs="Arial" w:eastAsia="Arial"/>
          <w:b w:val="0"/>
          <w:color w:val="000000"/>
          <w:sz w:val="22"/>
          <w:u w:val="none"/>
        </w:rPr>
        <w:t>Conversion: Return offer to full-time credit analyst</w:t>
      </w:r>
    </w:p>
    <w:p>
      <w:pPr>
        <w:spacing w:line="480" w:lineRule="auto" w:before="0" w:after="0"/>
      </w:pPr>
      <w:r>
        <w:rPr>
          <w:rFonts w:ascii="Arial" w:hAnsi="Arial" w:cs="Arial" w:eastAsia="Arial"/>
          <w:b/>
          <w:color w:val="000000"/>
          <w:sz w:val="22"/>
          <w:u w:val="none"/>
        </w:rPr>
        <w:t>Concrete takeaway: apply in the first application wave, because credit classes of 15 to 40 fill early and rarely reopen.</w:t>
      </w:r>
    </w:p>
    <w:p>
      <w:pPr>
        <w:spacing w:line="480" w:lineRule="auto" w:before="0" w:after="0"/>
      </w:pPr>
      <w:r>
        <w:rPr>
          <w:rFonts w:ascii="Arial" w:hAnsi="Arial" w:cs="Arial" w:eastAsia="Arial"/>
          <w:b/>
          <w:color w:val="000000"/>
          <w:sz w:val="28"/>
          <w:u w:val="single"/>
        </w:rPr>
        <w:t>2. Direct lending analyst at a dedicated lender</w:t>
      </w:r>
    </w:p>
    <w:p>
      <w:pPr>
        <w:spacing w:line="480" w:lineRule="auto" w:before="0" w:after="0"/>
      </w:pPr>
      <w:r>
        <w:rPr>
          <w:rFonts w:ascii="Arial" w:hAnsi="Arial" w:cs="Arial" w:eastAsia="Arial"/>
          <w:b/>
          <w:color w:val="000000"/>
          <w:sz w:val="22"/>
          <w:u w:val="none"/>
        </w:rPr>
        <w:t>Dedicated middle-market lenders run analyst programs where first-years underwrite more credits per year than juniors anywhere else in private credit.</w:t>
      </w:r>
    </w:p>
    <w:p>
      <w:pPr>
        <w:spacing w:line="480" w:lineRule="auto" w:before="0" w:after="0"/>
      </w:pPr>
      <w:r>
        <w:rPr>
          <w:rFonts w:ascii="Arial" w:hAnsi="Arial" w:cs="Arial" w:eastAsia="Arial"/>
          <w:b w:val="0"/>
          <w:color w:val="000000"/>
          <w:sz w:val="22"/>
          <w:u w:val="none"/>
        </w:rPr>
        <w:t>Golub, founded in 1994 and among the largest dedicated middle-market lenders, runs a structured analyst intake [VERIFY: current program]. Antares, the former GE Antares business acquired by CPPIB in 2015, hires into its Chicago-centered sponsor-finance platform. Monroe hires smaller analyst classes into lower-middle-market work where juniors sit closer to the decision. The trade against item 1 is brand breadth for reps: fewer strategies, more underwriting.</w:t>
      </w:r>
    </w:p>
    <w:p>
      <w:pPr>
        <w:pStyle w:val="ListBullet"/>
        <w:spacing w:line="480" w:lineRule="auto" w:before="0" w:after="0"/>
      </w:pPr>
      <w:r>
        <w:rPr>
          <w:rFonts w:ascii="Arial" w:hAnsi="Arial" w:cs="Arial" w:eastAsia="Arial"/>
          <w:b w:val="0"/>
          <w:color w:val="000000"/>
          <w:sz w:val="22"/>
          <w:u w:val="none"/>
        </w:rPr>
        <w:t>Who hires: Golub Capital, Antares Capital, Monroe Capital, plus HPS (now part of BlackRock), Sixth Street, Blue Owl at smaller and less regular scale [VERIFY: which run 2026 intakes]</w:t>
      </w:r>
    </w:p>
    <w:p>
      <w:pPr>
        <w:pStyle w:val="ListBullet"/>
        <w:spacing w:line="480" w:lineRule="auto" w:before="0" w:after="0"/>
      </w:pPr>
      <w:r>
        <w:rPr>
          <w:rFonts w:ascii="Arial" w:hAnsi="Arial" w:cs="Arial" w:eastAsia="Arial"/>
          <w:b w:val="0"/>
          <w:color w:val="000000"/>
          <w:sz w:val="22"/>
          <w:u w:val="none"/>
        </w:rPr>
        <w:t>Entry: Firm-specific analyst programs and internships, some rolling</w:t>
      </w:r>
    </w:p>
    <w:p>
      <w:pPr>
        <w:pStyle w:val="ListBullet"/>
        <w:spacing w:line="480" w:lineRule="auto" w:before="0" w:after="0"/>
      </w:pPr>
      <w:r>
        <w:rPr>
          <w:rFonts w:ascii="Arial" w:hAnsi="Arial" w:cs="Arial" w:eastAsia="Arial"/>
          <w:b w:val="0"/>
          <w:color w:val="000000"/>
          <w:sz w:val="22"/>
          <w:u w:val="none"/>
        </w:rPr>
        <w:t>Comp: Competitive with mega-fund credit at the junior level [VERIFY]</w:t>
      </w:r>
    </w:p>
    <w:p>
      <w:pPr>
        <w:pStyle w:val="ListBullet"/>
        <w:spacing w:line="480" w:lineRule="auto" w:before="0" w:after="0"/>
      </w:pPr>
      <w:r>
        <w:rPr>
          <w:rFonts w:ascii="Arial" w:hAnsi="Arial" w:cs="Arial" w:eastAsia="Arial"/>
          <w:b w:val="0"/>
          <w:color w:val="000000"/>
          <w:sz w:val="22"/>
          <w:u w:val="none"/>
        </w:rPr>
        <w:t>Conversion: None needed; this is the job</w:t>
      </w:r>
    </w:p>
    <w:p>
      <w:pPr>
        <w:spacing w:line="480" w:lineRule="auto" w:before="0" w:after="0"/>
      </w:pPr>
      <w:r>
        <w:rPr>
          <w:rFonts w:ascii="Arial" w:hAnsi="Arial" w:cs="Arial" w:eastAsia="Arial"/>
          <w:b/>
          <w:color w:val="000000"/>
          <w:sz w:val="22"/>
          <w:u w:val="none"/>
        </w:rPr>
        <w:t>Concrete takeaway: check each firm's careers page monthly starting in August, because dedicated-lender postings appear and close on their own calendars.</w:t>
      </w:r>
    </w:p>
    <w:p>
      <w:pPr>
        <w:spacing w:line="480" w:lineRule="auto" w:before="0" w:after="0"/>
      </w:pPr>
      <w:r>
        <w:rPr>
          <w:rFonts w:ascii="Arial" w:hAnsi="Arial" w:cs="Arial" w:eastAsia="Arial"/>
          <w:b/>
          <w:color w:val="000000"/>
          <w:sz w:val="28"/>
          <w:u w:val="single"/>
        </w:rPr>
        <w:t>3. BDC analyst</w:t>
      </w:r>
    </w:p>
    <w:p>
      <w:pPr>
        <w:spacing w:line="480" w:lineRule="auto" w:before="0" w:after="0"/>
      </w:pPr>
      <w:r>
        <w:rPr>
          <w:rFonts w:ascii="Arial" w:hAnsi="Arial" w:cs="Arial" w:eastAsia="Arial"/>
          <w:b/>
          <w:color w:val="000000"/>
          <w:sz w:val="22"/>
          <w:u w:val="none"/>
        </w:rPr>
        <w:t>Business Development Companies, the publicly traded vehicles like Ares Capital Corporation and Golub Capital BDC, hire analysts into seats that combine underwriting with public-company portfolio management.</w:t>
      </w:r>
    </w:p>
    <w:p>
      <w:pPr>
        <w:spacing w:line="480" w:lineRule="auto" w:before="0" w:after="0"/>
      </w:pPr>
      <w:r>
        <w:rPr>
          <w:rFonts w:ascii="Arial" w:hAnsi="Arial" w:cs="Arial" w:eastAsia="Arial"/>
          <w:b w:val="0"/>
          <w:color w:val="000000"/>
          <w:sz w:val="22"/>
          <w:u w:val="none"/>
        </w:rPr>
        <w:t>A BDC analyst does direct lending work with an extra layer: quarterly public reporting, fair-value marks on every position, and coverage of a permanent portfolio rather than a fund with an end date. Ares Capital Corporation is the largest BDC in the market [VERIFY], and the big BDC complexes staff from the same analyst pools as their parent platforms, so the entry route usually runs through the parent's program.</w:t>
      </w:r>
    </w:p>
    <w:p>
      <w:pPr>
        <w:pStyle w:val="ListBullet"/>
        <w:spacing w:line="480" w:lineRule="auto" w:before="0" w:after="0"/>
      </w:pPr>
      <w:r>
        <w:rPr>
          <w:rFonts w:ascii="Arial" w:hAnsi="Arial" w:cs="Arial" w:eastAsia="Arial"/>
          <w:b w:val="0"/>
          <w:color w:val="000000"/>
          <w:sz w:val="22"/>
          <w:u w:val="none"/>
        </w:rPr>
        <w:t>Who hires: Ares Capital, Golub Capital BDC, Blue Owl's BDC vehicles</w:t>
      </w:r>
    </w:p>
    <w:p>
      <w:pPr>
        <w:pStyle w:val="ListBullet"/>
        <w:spacing w:line="480" w:lineRule="auto" w:before="0" w:after="0"/>
      </w:pPr>
      <w:r>
        <w:rPr>
          <w:rFonts w:ascii="Arial" w:hAnsi="Arial" w:cs="Arial" w:eastAsia="Arial"/>
          <w:b w:val="0"/>
          <w:color w:val="000000"/>
          <w:sz w:val="22"/>
          <w:u w:val="none"/>
        </w:rPr>
        <w:t>Entry: Usually via the parent platform's analyst intake</w:t>
      </w:r>
    </w:p>
    <w:p>
      <w:pPr>
        <w:pStyle w:val="ListBullet"/>
        <w:spacing w:line="480" w:lineRule="auto" w:before="0" w:after="0"/>
      </w:pPr>
      <w:r>
        <w:rPr>
          <w:rFonts w:ascii="Arial" w:hAnsi="Arial" w:cs="Arial" w:eastAsia="Arial"/>
          <w:b w:val="0"/>
          <w:color w:val="000000"/>
          <w:sz w:val="22"/>
          <w:u w:val="none"/>
        </w:rPr>
        <w:t>Comp: Parent-firm credit scale [VERIFY]</w:t>
      </w:r>
    </w:p>
    <w:p>
      <w:pPr>
        <w:pStyle w:val="ListBullet"/>
        <w:spacing w:line="480" w:lineRule="auto" w:before="0" w:after="0"/>
      </w:pPr>
      <w:r>
        <w:rPr>
          <w:rFonts w:ascii="Arial" w:hAnsi="Arial" w:cs="Arial" w:eastAsia="Arial"/>
          <w:b w:val="0"/>
          <w:color w:val="000000"/>
          <w:sz w:val="22"/>
          <w:u w:val="none"/>
        </w:rPr>
        <w:t>Conversion: Direct; the seat itself compounds toward portfolio management</w:t>
      </w:r>
    </w:p>
    <w:p>
      <w:pPr>
        <w:spacing w:line="480" w:lineRule="auto" w:before="0" w:after="0"/>
      </w:pPr>
      <w:r>
        <w:rPr>
          <w:rFonts w:ascii="Arial" w:hAnsi="Arial" w:cs="Arial" w:eastAsia="Arial"/>
          <w:b/>
          <w:color w:val="000000"/>
          <w:sz w:val="22"/>
          <w:u w:val="none"/>
        </w:rPr>
        <w:t>Concrete takeaway: in interviews anywhere near a BDC, know how net asset value and incentive fees work, because that vocabulary is the screen.</w:t>
      </w:r>
    </w:p>
    <w:p>
      <w:pPr>
        <w:spacing w:line="480" w:lineRule="auto" w:before="0" w:after="0"/>
      </w:pPr>
      <w:r>
        <w:rPr>
          <w:rFonts w:ascii="Arial" w:hAnsi="Arial" w:cs="Arial" w:eastAsia="Arial"/>
          <w:b/>
          <w:color w:val="000000"/>
          <w:sz w:val="36"/>
          <w:u w:val="none"/>
        </w:rPr>
        <w:t>Feeder seats that convert</w:t>
      </w:r>
    </w:p>
    <w:p>
      <w:pPr>
        <w:spacing w:line="480" w:lineRule="auto" w:before="0" w:after="0"/>
      </w:pPr>
      <w:r>
        <w:rPr>
          <w:rFonts w:ascii="Arial" w:hAnsi="Arial" w:cs="Arial" w:eastAsia="Arial"/>
          <w:b/>
          <w:color w:val="000000"/>
          <w:sz w:val="28"/>
          <w:u w:val="single"/>
        </w:rPr>
        <w:t>4. Leveraged finance analyst at a bank</w:t>
      </w:r>
    </w:p>
    <w:p>
      <w:pPr>
        <w:spacing w:line="480" w:lineRule="auto" w:before="0" w:after="0"/>
      </w:pPr>
      <w:r>
        <w:rPr>
          <w:rFonts w:ascii="Arial" w:hAnsi="Arial" w:cs="Arial" w:eastAsia="Arial"/>
          <w:b/>
          <w:color w:val="000000"/>
          <w:sz w:val="22"/>
          <w:u w:val="none"/>
        </w:rPr>
        <w:t>LevFin analysts spend two years structuring the loans and high-yield bonds that private credit funds compete against and buy alongside, which is why credit funds recruit them first among bankers.</w:t>
      </w:r>
    </w:p>
    <w:p>
      <w:pPr>
        <w:spacing w:line="480" w:lineRule="auto" w:before="0" w:after="0"/>
      </w:pPr>
      <w:r>
        <w:rPr>
          <w:rFonts w:ascii="Arial" w:hAnsi="Arial" w:cs="Arial" w:eastAsia="Arial"/>
          <w:b w:val="0"/>
          <w:color w:val="000000"/>
          <w:sz w:val="22"/>
          <w:u w:val="none"/>
        </w:rPr>
        <w:t>The seat is standard IB: live deals, capital structure work, sponsor interaction, banking hours. What makes it the classic PC feeder is subject-matter identity, the credit agreements, leverage math, and covenant packages are the same material a fund analyst underwrites from the other side. Sponsors groups run adjacent and convert nearly as well.</w:t>
      </w:r>
    </w:p>
    <w:p>
      <w:pPr>
        <w:pStyle w:val="ListBullet"/>
        <w:spacing w:line="480" w:lineRule="auto" w:before="0" w:after="0"/>
      </w:pPr>
      <w:r>
        <w:rPr>
          <w:rFonts w:ascii="Arial" w:hAnsi="Arial" w:cs="Arial" w:eastAsia="Arial"/>
          <w:b w:val="0"/>
          <w:color w:val="000000"/>
          <w:sz w:val="22"/>
          <w:u w:val="none"/>
        </w:rPr>
        <w:t>Who hires: JPMorgan, Goldman Sachs, Morgan Stanley, Bank of America, Citi</w:t>
      </w:r>
    </w:p>
    <w:p>
      <w:pPr>
        <w:pStyle w:val="ListBullet"/>
        <w:spacing w:line="480" w:lineRule="auto" w:before="0" w:after="0"/>
      </w:pPr>
      <w:r>
        <w:rPr>
          <w:rFonts w:ascii="Arial" w:hAnsi="Arial" w:cs="Arial" w:eastAsia="Arial"/>
          <w:b w:val="0"/>
          <w:color w:val="000000"/>
          <w:sz w:val="22"/>
          <w:u w:val="none"/>
        </w:rPr>
        <w:t>Entry: Standard IB Summer Analyst funnel</w:t>
      </w:r>
    </w:p>
    <w:p>
      <w:pPr>
        <w:pStyle w:val="ListBullet"/>
        <w:spacing w:line="480" w:lineRule="auto" w:before="0" w:after="0"/>
      </w:pPr>
      <w:r>
        <w:rPr>
          <w:rFonts w:ascii="Arial" w:hAnsi="Arial" w:cs="Arial" w:eastAsia="Arial"/>
          <w:b w:val="0"/>
          <w:color w:val="000000"/>
          <w:sz w:val="22"/>
          <w:u w:val="none"/>
        </w:rPr>
        <w:t>Comp: IB scale, $110,000 to $125,000 base plus bonus [VERIFY]</w:t>
      </w:r>
    </w:p>
    <w:p>
      <w:pPr>
        <w:pStyle w:val="ListBullet"/>
        <w:spacing w:line="480" w:lineRule="auto" w:before="0" w:after="0"/>
      </w:pPr>
      <w:r>
        <w:rPr>
          <w:rFonts w:ascii="Arial" w:hAnsi="Arial" w:cs="Arial" w:eastAsia="Arial"/>
          <w:b w:val="0"/>
          <w:color w:val="000000"/>
          <w:sz w:val="22"/>
          <w:u w:val="none"/>
        </w:rPr>
        <w:t>Conversion: Two years, then fund seats via recruiting that runs year-round</w:t>
      </w:r>
    </w:p>
    <w:p>
      <w:pPr>
        <w:spacing w:line="480" w:lineRule="auto" w:before="0" w:after="0"/>
      </w:pPr>
      <w:r>
        <w:rPr>
          <w:rFonts w:ascii="Arial" w:hAnsi="Arial" w:cs="Arial" w:eastAsia="Arial"/>
          <w:b/>
          <w:color w:val="000000"/>
          <w:sz w:val="22"/>
          <w:u w:val="none"/>
        </w:rPr>
        <w:t>Concrete takeaway: if you take the LevFin detour, keep one live credit interest visible the whole time, because "LevFin analyst who reads Pari Passu" is the exact profile credit funds call first.</w:t>
      </w:r>
    </w:p>
    <w:p>
      <w:pPr>
        <w:spacing w:line="480" w:lineRule="auto" w:before="0" w:after="0"/>
      </w:pPr>
      <w:r>
        <w:rPr>
          <w:rFonts w:ascii="Arial" w:hAnsi="Arial" w:cs="Arial" w:eastAsia="Arial"/>
          <w:b/>
          <w:color w:val="000000"/>
          <w:sz w:val="28"/>
          <w:u w:val="single"/>
        </w:rPr>
        <w:t>5. Bank private credit desk analyst</w:t>
      </w:r>
    </w:p>
    <w:p>
      <w:pPr>
        <w:spacing w:line="480" w:lineRule="auto" w:before="0" w:after="0"/>
      </w:pPr>
      <w:r>
        <w:rPr>
          <w:rFonts w:ascii="Arial" w:hAnsi="Arial" w:cs="Arial" w:eastAsia="Arial"/>
          <w:b/>
          <w:color w:val="000000"/>
          <w:sz w:val="22"/>
          <w:u w:val="none"/>
        </w:rPr>
        <w:t>The bulge brackets built their own direct lending platforms, and their analyst seats put you inside the asset class with a bank's training program attached.</w:t>
      </w:r>
    </w:p>
    <w:p>
      <w:pPr>
        <w:spacing w:line="480" w:lineRule="auto" w:before="0" w:after="0"/>
      </w:pPr>
      <w:r>
        <w:rPr>
          <w:rFonts w:ascii="Arial" w:hAnsi="Arial" w:cs="Arial" w:eastAsia="Arial"/>
          <w:b w:val="0"/>
          <w:color w:val="000000"/>
          <w:sz w:val="22"/>
          <w:u w:val="none"/>
        </w:rPr>
        <w:t>Goldman, JPMorgan, and Morgan Stanley all run private credit businesses hiring through the standard Summer Analyst funnel [VERIFY: team placement mechanics by bank]. The work is closer to fund-side underwriting than to advisory banking. The catch is placement: you interview into the bank, and landing the credit desk specifically depends on each bank's team-matching process. Ask exactly how that works before signing.</w:t>
      </w:r>
    </w:p>
    <w:p>
      <w:pPr>
        <w:pStyle w:val="ListBullet"/>
        <w:spacing w:line="480" w:lineRule="auto" w:before="0" w:after="0"/>
      </w:pPr>
      <w:r>
        <w:rPr>
          <w:rFonts w:ascii="Arial" w:hAnsi="Arial" w:cs="Arial" w:eastAsia="Arial"/>
          <w:b w:val="0"/>
          <w:color w:val="000000"/>
          <w:sz w:val="22"/>
          <w:u w:val="none"/>
        </w:rPr>
        <w:t>Who hires: JPMorgan, Goldman Sachs, Morgan Stanley</w:t>
      </w:r>
    </w:p>
    <w:p>
      <w:pPr>
        <w:pStyle w:val="ListBullet"/>
        <w:spacing w:line="480" w:lineRule="auto" w:before="0" w:after="0"/>
      </w:pPr>
      <w:r>
        <w:rPr>
          <w:rFonts w:ascii="Arial" w:hAnsi="Arial" w:cs="Arial" w:eastAsia="Arial"/>
          <w:b w:val="0"/>
          <w:color w:val="000000"/>
          <w:sz w:val="22"/>
          <w:u w:val="none"/>
        </w:rPr>
        <w:t>Entry: Bank Summer Analyst funnel with team placement</w:t>
      </w:r>
    </w:p>
    <w:p>
      <w:pPr>
        <w:pStyle w:val="ListBullet"/>
        <w:spacing w:line="480" w:lineRule="auto" w:before="0" w:after="0"/>
      </w:pPr>
      <w:r>
        <w:rPr>
          <w:rFonts w:ascii="Arial" w:hAnsi="Arial" w:cs="Arial" w:eastAsia="Arial"/>
          <w:b w:val="0"/>
          <w:color w:val="000000"/>
          <w:sz w:val="22"/>
          <w:u w:val="none"/>
        </w:rPr>
        <w:t>Comp: IB scale</w:t>
      </w:r>
    </w:p>
    <w:p>
      <w:pPr>
        <w:pStyle w:val="ListBullet"/>
        <w:spacing w:line="480" w:lineRule="auto" w:before="0" w:after="0"/>
      </w:pPr>
      <w:r>
        <w:rPr>
          <w:rFonts w:ascii="Arial" w:hAnsi="Arial" w:cs="Arial" w:eastAsia="Arial"/>
          <w:b w:val="0"/>
          <w:color w:val="000000"/>
          <w:sz w:val="22"/>
          <w:u w:val="none"/>
        </w:rPr>
        <w:t>Conversion: Internal, or out to funds after two years</w:t>
      </w:r>
    </w:p>
    <w:p>
      <w:pPr>
        <w:spacing w:line="480" w:lineRule="auto" w:before="0" w:after="0"/>
      </w:pPr>
      <w:r>
        <w:rPr>
          <w:rFonts w:ascii="Arial" w:hAnsi="Arial" w:cs="Arial" w:eastAsia="Arial"/>
          <w:b/>
          <w:color w:val="000000"/>
          <w:sz w:val="22"/>
          <w:u w:val="none"/>
        </w:rPr>
        <w:t>Concrete takeaway: an offer to the bank is not an offer to the credit desk, so get the placement mechanics in writing before you commit.</w:t>
      </w:r>
    </w:p>
    <w:p>
      <w:pPr>
        <w:spacing w:line="480" w:lineRule="auto" w:before="0" w:after="0"/>
      </w:pPr>
      <w:r>
        <w:rPr>
          <w:rFonts w:ascii="Arial" w:hAnsi="Arial" w:cs="Arial" w:eastAsia="Arial"/>
          <w:b/>
          <w:color w:val="000000"/>
          <w:sz w:val="28"/>
          <w:u w:val="single"/>
        </w:rPr>
        <w:t>6. Restructuring analyst at an elite boutique</w:t>
      </w:r>
    </w:p>
    <w:p>
      <w:pPr>
        <w:spacing w:line="480" w:lineRule="auto" w:before="0" w:after="0"/>
      </w:pPr>
      <w:r>
        <w:rPr>
          <w:rFonts w:ascii="Arial" w:hAnsi="Arial" w:cs="Arial" w:eastAsia="Arial"/>
          <w:b/>
          <w:color w:val="000000"/>
          <w:sz w:val="22"/>
          <w:u w:val="none"/>
        </w:rPr>
        <w:t>RX analysts learn credit from the downside first, and credit funds hire them at rates matching LevFin because workout literacy has become the scarce skill of the LME era.</w:t>
      </w:r>
    </w:p>
    <w:p>
      <w:pPr>
        <w:spacing w:line="480" w:lineRule="auto" w:before="0" w:after="0"/>
      </w:pPr>
      <w:r>
        <w:rPr>
          <w:rFonts w:ascii="Arial" w:hAnsi="Arial" w:cs="Arial" w:eastAsia="Arial"/>
          <w:b w:val="0"/>
          <w:color w:val="000000"/>
          <w:sz w:val="22"/>
          <w:u w:val="none"/>
        </w:rPr>
        <w:t>PJT, Evercore, Houlihan Lokey, Lazard, and Moelis run dedicated RX Summer Analyst pipelines on the sophomore-fall window. The waterfall and cap-table work that fills an RX analyst's week is the same analysis a stressed-credit investor runs before buying a position. Full breakdown in our Ultimate Guide to Break Into Restructuring and the four firm guides that accompany it.</w:t>
      </w:r>
    </w:p>
    <w:p>
      <w:pPr>
        <w:pStyle w:val="ListBullet"/>
        <w:spacing w:line="480" w:lineRule="auto" w:before="0" w:after="0"/>
      </w:pPr>
      <w:r>
        <w:rPr>
          <w:rFonts w:ascii="Arial" w:hAnsi="Arial" w:cs="Arial" w:eastAsia="Arial"/>
          <w:b w:val="0"/>
          <w:color w:val="000000"/>
          <w:sz w:val="22"/>
          <w:u w:val="none"/>
        </w:rPr>
        <w:t>Who hires: PJT Partners, Evercore, Houlihan Lokey, Lazard, Moelis</w:t>
      </w:r>
    </w:p>
    <w:p>
      <w:pPr>
        <w:pStyle w:val="ListBullet"/>
        <w:spacing w:line="480" w:lineRule="auto" w:before="0" w:after="0"/>
      </w:pPr>
      <w:r>
        <w:rPr>
          <w:rFonts w:ascii="Arial" w:hAnsi="Arial" w:cs="Arial" w:eastAsia="Arial"/>
          <w:b w:val="0"/>
          <w:color w:val="000000"/>
          <w:sz w:val="22"/>
          <w:u w:val="none"/>
        </w:rPr>
        <w:t>Entry: Dedicated RX pipelines, sophomore-fall window</w:t>
      </w:r>
    </w:p>
    <w:p>
      <w:pPr>
        <w:pStyle w:val="ListBullet"/>
        <w:spacing w:line="480" w:lineRule="auto" w:before="0" w:after="0"/>
      </w:pPr>
      <w:r>
        <w:rPr>
          <w:rFonts w:ascii="Arial" w:hAnsi="Arial" w:cs="Arial" w:eastAsia="Arial"/>
          <w:b w:val="0"/>
          <w:color w:val="000000"/>
          <w:sz w:val="22"/>
          <w:u w:val="none"/>
        </w:rPr>
        <w:t>Comp: Elite boutique scale, among banking's highest [VERIFY]</w:t>
      </w:r>
    </w:p>
    <w:p>
      <w:pPr>
        <w:pStyle w:val="ListBullet"/>
        <w:spacing w:line="480" w:lineRule="auto" w:before="0" w:after="0"/>
      </w:pPr>
      <w:r>
        <w:rPr>
          <w:rFonts w:ascii="Arial" w:hAnsi="Arial" w:cs="Arial" w:eastAsia="Arial"/>
          <w:b w:val="0"/>
          <w:color w:val="000000"/>
          <w:sz w:val="22"/>
          <w:u w:val="none"/>
        </w:rPr>
        <w:t>Conversion: Two years, then credit funds and distressed seats</w:t>
      </w:r>
    </w:p>
    <w:p>
      <w:pPr>
        <w:spacing w:line="480" w:lineRule="auto" w:before="0" w:after="0"/>
      </w:pPr>
      <w:r>
        <w:rPr>
          <w:rFonts w:ascii="Arial" w:hAnsi="Arial" w:cs="Arial" w:eastAsia="Arial"/>
          <w:b/>
          <w:color w:val="000000"/>
          <w:sz w:val="22"/>
          <w:u w:val="none"/>
        </w:rPr>
        <w:t>Concrete takeaway: choose RX over LevFin when stressed and distressed credit is the goal, and expect the harder interview of the two.</w:t>
      </w:r>
    </w:p>
    <w:p>
      <w:pPr>
        <w:spacing w:line="480" w:lineRule="auto" w:before="0" w:after="0"/>
      </w:pPr>
      <w:r>
        <w:rPr>
          <w:rFonts w:ascii="Arial" w:hAnsi="Arial" w:cs="Arial" w:eastAsia="Arial"/>
          <w:b/>
          <w:color w:val="000000"/>
          <w:sz w:val="28"/>
          <w:u w:val="single"/>
        </w:rPr>
        <w:t>7. Credit ratings agency analyst</w:t>
      </w:r>
    </w:p>
    <w:p>
      <w:pPr>
        <w:spacing w:line="480" w:lineRule="auto" w:before="0" w:after="0"/>
      </w:pPr>
      <w:r>
        <w:rPr>
          <w:rFonts w:ascii="Arial" w:hAnsi="Arial" w:cs="Arial" w:eastAsia="Arial"/>
          <w:b/>
          <w:color w:val="000000"/>
          <w:sz w:val="22"/>
          <w:u w:val="none"/>
        </w:rPr>
        <w:t>Moody's, S&amp;P, and Fitch hire undergrads through standard corporate recruiting, and their leveraged finance teams read more credits per year than almost any seat in the market.</w:t>
      </w:r>
    </w:p>
    <w:p>
      <w:pPr>
        <w:spacing w:line="480" w:lineRule="auto" w:before="0" w:after="0"/>
      </w:pPr>
      <w:r>
        <w:rPr>
          <w:rFonts w:ascii="Arial" w:hAnsi="Arial" w:cs="Arial" w:eastAsia="Arial"/>
          <w:b w:val="0"/>
          <w:color w:val="000000"/>
          <w:sz w:val="22"/>
          <w:u w:val="none"/>
        </w:rPr>
        <w:t>The work is credit analysis without capital at risk: reviewing financials, running rating models, writing rating rationales across a sector portfolio. Pay starts around $70,000 to $90,000 [VERIFY], well below banking. The conversion path runs through sector depth: a ratings analyst covering high yield healthcare for three years becomes hireable by credit funds that need exactly that coverage, usually via lateral or MBA.</w:t>
      </w:r>
    </w:p>
    <w:p>
      <w:pPr>
        <w:pStyle w:val="ListBullet"/>
        <w:spacing w:line="480" w:lineRule="auto" w:before="0" w:after="0"/>
      </w:pPr>
      <w:r>
        <w:rPr>
          <w:rFonts w:ascii="Arial" w:hAnsi="Arial" w:cs="Arial" w:eastAsia="Arial"/>
          <w:b w:val="0"/>
          <w:color w:val="000000"/>
          <w:sz w:val="22"/>
          <w:u w:val="none"/>
        </w:rPr>
        <w:t>Who hires: Moody's, S&amp;P Global Ratings, Fitch Ratings</w:t>
      </w:r>
    </w:p>
    <w:p>
      <w:pPr>
        <w:pStyle w:val="ListBullet"/>
        <w:spacing w:line="480" w:lineRule="auto" w:before="0" w:after="0"/>
      </w:pPr>
      <w:r>
        <w:rPr>
          <w:rFonts w:ascii="Arial" w:hAnsi="Arial" w:cs="Arial" w:eastAsia="Arial"/>
          <w:b w:val="0"/>
          <w:color w:val="000000"/>
          <w:sz w:val="22"/>
          <w:u w:val="none"/>
        </w:rPr>
        <w:t>Entry: Corporate recruiting, far less competitive than banking</w:t>
      </w:r>
    </w:p>
    <w:p>
      <w:pPr>
        <w:pStyle w:val="ListBullet"/>
        <w:spacing w:line="480" w:lineRule="auto" w:before="0" w:after="0"/>
      </w:pPr>
      <w:r>
        <w:rPr>
          <w:rFonts w:ascii="Arial" w:hAnsi="Arial" w:cs="Arial" w:eastAsia="Arial"/>
          <w:b w:val="0"/>
          <w:color w:val="000000"/>
          <w:sz w:val="22"/>
          <w:u w:val="none"/>
        </w:rPr>
        <w:t>Comp: $70,000 to $90,000 to start [VERIFY]</w:t>
      </w:r>
    </w:p>
    <w:p>
      <w:pPr>
        <w:pStyle w:val="ListBullet"/>
        <w:spacing w:line="480" w:lineRule="auto" w:before="0" w:after="0"/>
      </w:pPr>
      <w:r>
        <w:rPr>
          <w:rFonts w:ascii="Arial" w:hAnsi="Arial" w:cs="Arial" w:eastAsia="Arial"/>
          <w:b w:val="0"/>
          <w:color w:val="000000"/>
          <w:sz w:val="22"/>
          <w:u w:val="none"/>
        </w:rPr>
        <w:t>Conversion: Slower; three years plus sector depth, or an MBA</w:t>
      </w:r>
    </w:p>
    <w:p>
      <w:pPr>
        <w:spacing w:line="480" w:lineRule="auto" w:before="0" w:after="0"/>
      </w:pPr>
      <w:r>
        <w:rPr>
          <w:rFonts w:ascii="Arial" w:hAnsi="Arial" w:cs="Arial" w:eastAsia="Arial"/>
          <w:b/>
          <w:color w:val="000000"/>
          <w:sz w:val="22"/>
          <w:u w:val="none"/>
        </w:rPr>
        <w:t>Concrete takeaway: take ratings only if the fund and bank routes both miss, and push hard for a leveraged finance or high yield team assignment.</w:t>
      </w:r>
    </w:p>
    <w:p>
      <w:pPr>
        <w:spacing w:line="480" w:lineRule="auto" w:before="0" w:after="0"/>
      </w:pPr>
      <w:r>
        <w:rPr>
          <w:rFonts w:ascii="Arial" w:hAnsi="Arial" w:cs="Arial" w:eastAsia="Arial"/>
          <w:b/>
          <w:color w:val="000000"/>
          <w:sz w:val="36"/>
          <w:u w:val="none"/>
        </w:rPr>
        <w:t>Narrow doors worth knowing</w:t>
      </w:r>
    </w:p>
    <w:p>
      <w:pPr>
        <w:spacing w:line="480" w:lineRule="auto" w:before="0" w:after="0"/>
      </w:pPr>
      <w:r>
        <w:rPr>
          <w:rFonts w:ascii="Arial" w:hAnsi="Arial" w:cs="Arial" w:eastAsia="Arial"/>
          <w:b/>
          <w:color w:val="000000"/>
          <w:sz w:val="28"/>
          <w:u w:val="single"/>
        </w:rPr>
        <w:t>8. Mezzanine and junior capital fund analyst</w:t>
      </w:r>
    </w:p>
    <w:p>
      <w:pPr>
        <w:spacing w:line="480" w:lineRule="auto" w:before="0" w:after="0"/>
      </w:pPr>
      <w:r>
        <w:rPr>
          <w:rFonts w:ascii="Arial" w:hAnsi="Arial" w:cs="Arial" w:eastAsia="Arial"/>
          <w:b/>
          <w:color w:val="000000"/>
          <w:sz w:val="22"/>
          <w:u w:val="none"/>
        </w:rPr>
        <w:t>Mezzanine funds underwrite the riskiest debt layer, and their small teams hand analysts memo-writing and committee exposure years earlier than large platforms do.</w:t>
      </w:r>
    </w:p>
    <w:p>
      <w:pPr>
        <w:spacing w:line="480" w:lineRule="auto" w:before="0" w:after="0"/>
      </w:pPr>
      <w:r>
        <w:rPr>
          <w:rFonts w:ascii="Arial" w:hAnsi="Arial" w:cs="Arial" w:eastAsia="Arial"/>
          <w:b w:val="0"/>
          <w:color w:val="000000"/>
          <w:sz w:val="22"/>
          <w:u w:val="none"/>
        </w:rPr>
        <w:t>These funds lend subordinated debt, often with warrants attached, into sponsor deals the senior lenders won't fully finance. Team sizes run small, intakes are irregular, and most openings never reach job boards, which makes them a networking-sourced seat almost by definition [VERIFY: named funds hiring undergrads in 2026].</w:t>
      </w:r>
    </w:p>
    <w:p>
      <w:pPr>
        <w:pStyle w:val="ListBullet"/>
        <w:spacing w:line="480" w:lineRule="auto" w:before="0" w:after="0"/>
      </w:pPr>
      <w:r>
        <w:rPr>
          <w:rFonts w:ascii="Arial" w:hAnsi="Arial" w:cs="Arial" w:eastAsia="Arial"/>
          <w:b w:val="0"/>
          <w:color w:val="000000"/>
          <w:sz w:val="22"/>
          <w:u w:val="none"/>
        </w:rPr>
        <w:t>Who hires: Dedicated mezz funds and junior-capital strategies inside larger managers</w:t>
      </w:r>
    </w:p>
    <w:p>
      <w:pPr>
        <w:pStyle w:val="ListBullet"/>
        <w:spacing w:line="480" w:lineRule="auto" w:before="0" w:after="0"/>
      </w:pPr>
      <w:r>
        <w:rPr>
          <w:rFonts w:ascii="Arial" w:hAnsi="Arial" w:cs="Arial" w:eastAsia="Arial"/>
          <w:b w:val="0"/>
          <w:color w:val="000000"/>
          <w:sz w:val="22"/>
          <w:u w:val="none"/>
        </w:rPr>
        <w:t>Entry: Irregular, networking-driven</w:t>
      </w:r>
    </w:p>
    <w:p>
      <w:pPr>
        <w:pStyle w:val="ListBullet"/>
        <w:spacing w:line="480" w:lineRule="auto" w:before="0" w:after="0"/>
      </w:pPr>
      <w:r>
        <w:rPr>
          <w:rFonts w:ascii="Arial" w:hAnsi="Arial" w:cs="Arial" w:eastAsia="Arial"/>
          <w:b w:val="0"/>
          <w:color w:val="000000"/>
          <w:sz w:val="22"/>
          <w:u w:val="none"/>
        </w:rPr>
        <w:t>Comp: Varies with fund size</w:t>
      </w:r>
    </w:p>
    <w:p>
      <w:pPr>
        <w:pStyle w:val="ListBullet"/>
        <w:spacing w:line="480" w:lineRule="auto" w:before="0" w:after="0"/>
      </w:pPr>
      <w:r>
        <w:rPr>
          <w:rFonts w:ascii="Arial" w:hAnsi="Arial" w:cs="Arial" w:eastAsia="Arial"/>
          <w:b w:val="0"/>
          <w:color w:val="000000"/>
          <w:sz w:val="22"/>
          <w:u w:val="none"/>
        </w:rPr>
        <w:t>Conversion: Direct; junior-capital underwriting reads across all of private credit</w:t>
      </w:r>
    </w:p>
    <w:p>
      <w:pPr>
        <w:spacing w:line="480" w:lineRule="auto" w:before="0" w:after="0"/>
      </w:pPr>
      <w:r>
        <w:rPr>
          <w:rFonts w:ascii="Arial" w:hAnsi="Arial" w:cs="Arial" w:eastAsia="Arial"/>
          <w:b/>
          <w:color w:val="000000"/>
          <w:sz w:val="22"/>
          <w:u w:val="none"/>
        </w:rPr>
        <w:t>Concrete takeaway: source these through your alumni database with the search terms "mezzanine" and "junior capital," because postings won't find you.</w:t>
      </w:r>
    </w:p>
    <w:p>
      <w:pPr>
        <w:spacing w:line="480" w:lineRule="auto" w:before="0" w:after="0"/>
      </w:pPr>
      <w:r>
        <w:rPr>
          <w:rFonts w:ascii="Arial" w:hAnsi="Arial" w:cs="Arial" w:eastAsia="Arial"/>
          <w:b/>
          <w:color w:val="000000"/>
          <w:sz w:val="28"/>
          <w:u w:val="single"/>
        </w:rPr>
        <w:t>9. Credit research analyst at a large asset manager</w:t>
      </w:r>
    </w:p>
    <w:p>
      <w:pPr>
        <w:spacing w:line="480" w:lineRule="auto" w:before="0" w:after="0"/>
      </w:pPr>
      <w:r>
        <w:rPr>
          <w:rFonts w:ascii="Arial" w:hAnsi="Arial" w:cs="Arial" w:eastAsia="Arial"/>
          <w:b/>
          <w:color w:val="000000"/>
          <w:sz w:val="22"/>
          <w:u w:val="none"/>
        </w:rPr>
        <w:t>PIMCO, BlackRock, and the major asset managers run structured undergrad programs in credit research, the liquid-market cousin of private credit underwriting.</w:t>
      </w:r>
    </w:p>
    <w:p>
      <w:pPr>
        <w:spacing w:line="480" w:lineRule="auto" w:before="0" w:after="0"/>
      </w:pPr>
      <w:r>
        <w:rPr>
          <w:rFonts w:ascii="Arial" w:hAnsi="Arial" w:cs="Arial" w:eastAsia="Arial"/>
          <w:b w:val="0"/>
          <w:color w:val="000000"/>
          <w:sz w:val="22"/>
          <w:u w:val="none"/>
        </w:rPr>
        <w:t>The analysis is the same discipline, cash flow durability, leverage, covenants, priced against public high yield and loan markets instead of private deals. Hours run materially lighter than banking. The conversion story into private credit is clean when your coverage was leveraged credit rather than investment grade.</w:t>
      </w:r>
    </w:p>
    <w:p>
      <w:pPr>
        <w:pStyle w:val="ListBullet"/>
        <w:spacing w:line="480" w:lineRule="auto" w:before="0" w:after="0"/>
      </w:pPr>
      <w:r>
        <w:rPr>
          <w:rFonts w:ascii="Arial" w:hAnsi="Arial" w:cs="Arial" w:eastAsia="Arial"/>
          <w:b w:val="0"/>
          <w:color w:val="000000"/>
          <w:sz w:val="22"/>
          <w:u w:val="none"/>
        </w:rPr>
        <w:t>Who hires: PIMCO, BlackRock, and peer asset managers</w:t>
      </w:r>
    </w:p>
    <w:p>
      <w:pPr>
        <w:pStyle w:val="ListBullet"/>
        <w:spacing w:line="480" w:lineRule="auto" w:before="0" w:after="0"/>
      </w:pPr>
      <w:r>
        <w:rPr>
          <w:rFonts w:ascii="Arial" w:hAnsi="Arial" w:cs="Arial" w:eastAsia="Arial"/>
          <w:b w:val="0"/>
          <w:color w:val="000000"/>
          <w:sz w:val="22"/>
          <w:u w:val="none"/>
        </w:rPr>
        <w:t>Entry: Structured programs with published timelines</w:t>
      </w:r>
    </w:p>
    <w:p>
      <w:pPr>
        <w:pStyle w:val="ListBullet"/>
        <w:spacing w:line="480" w:lineRule="auto" w:before="0" w:after="0"/>
      </w:pPr>
      <w:r>
        <w:rPr>
          <w:rFonts w:ascii="Arial" w:hAnsi="Arial" w:cs="Arial" w:eastAsia="Arial"/>
          <w:b w:val="0"/>
          <w:color w:val="000000"/>
          <w:sz w:val="22"/>
          <w:u w:val="none"/>
        </w:rPr>
        <w:t>Comp: Between ratings and banking [VERIFY]</w:t>
      </w:r>
    </w:p>
    <w:p>
      <w:pPr>
        <w:pStyle w:val="ListBullet"/>
        <w:spacing w:line="480" w:lineRule="auto" w:before="0" w:after="0"/>
      </w:pPr>
      <w:r>
        <w:rPr>
          <w:rFonts w:ascii="Arial" w:hAnsi="Arial" w:cs="Arial" w:eastAsia="Arial"/>
          <w:b w:val="0"/>
          <w:color w:val="000000"/>
          <w:sz w:val="22"/>
          <w:u w:val="none"/>
        </w:rPr>
        <w:t>Conversion: Lateral after two to three years, high yield coverage converting best</w:t>
      </w:r>
    </w:p>
    <w:p>
      <w:pPr>
        <w:spacing w:line="480" w:lineRule="auto" w:before="0" w:after="0"/>
      </w:pPr>
      <w:r>
        <w:rPr>
          <w:rFonts w:ascii="Arial" w:hAnsi="Arial" w:cs="Arial" w:eastAsia="Arial"/>
          <w:b/>
          <w:color w:val="000000"/>
          <w:sz w:val="22"/>
          <w:u w:val="none"/>
        </w:rPr>
        <w:t>Concrete takeaway: take this seat over ratings when you can get it, and steer your coverage toward high yield from day one.</w:t>
      </w:r>
    </w:p>
    <w:p>
      <w:pPr>
        <w:spacing w:line="480" w:lineRule="auto" w:before="0" w:after="0"/>
      </w:pPr>
      <w:r>
        <w:rPr>
          <w:rFonts w:ascii="Arial" w:hAnsi="Arial" w:cs="Arial" w:eastAsia="Arial"/>
          <w:b/>
          <w:color w:val="000000"/>
          <w:sz w:val="28"/>
          <w:u w:val="single"/>
        </w:rPr>
        <w:t>10. Portfolio monitoring and valuations analyst at a credit platform</w:t>
      </w:r>
    </w:p>
    <w:p>
      <w:pPr>
        <w:spacing w:line="480" w:lineRule="auto" w:before="0" w:after="0"/>
      </w:pPr>
      <w:r>
        <w:rPr>
          <w:rFonts w:ascii="Arial" w:hAnsi="Arial" w:cs="Arial" w:eastAsia="Arial"/>
          <w:b/>
          <w:color w:val="000000"/>
          <w:sz w:val="22"/>
          <w:u w:val="none"/>
        </w:rPr>
        <w:t>Large credit platforms hire analysts into portfolio management and valuations teams outside the investment-team funnel, and internal transfer is a real if slower path to the underwriting side.</w:t>
      </w:r>
    </w:p>
    <w:p>
      <w:pPr>
        <w:spacing w:line="480" w:lineRule="auto" w:before="0" w:after="0"/>
      </w:pPr>
      <w:r>
        <w:rPr>
          <w:rFonts w:ascii="Arial" w:hAnsi="Arial" w:cs="Arial" w:eastAsia="Arial"/>
          <w:b w:val="0"/>
          <w:color w:val="000000"/>
          <w:sz w:val="22"/>
          <w:u w:val="none"/>
        </w:rPr>
        <w:t>The work, covenant tracking, quarterly marks, portfolio reporting, builds real fluency in how deals perform after closing. The transfer path depends entirely on firm culture, so the interview question that matters is precedent: how many people moved from this team to the investment team in the last three years?</w:t>
      </w:r>
    </w:p>
    <w:p>
      <w:pPr>
        <w:pStyle w:val="ListBullet"/>
        <w:spacing w:line="480" w:lineRule="auto" w:before="0" w:after="0"/>
      </w:pPr>
      <w:r>
        <w:rPr>
          <w:rFonts w:ascii="Arial" w:hAnsi="Arial" w:cs="Arial" w:eastAsia="Arial"/>
          <w:b w:val="0"/>
          <w:color w:val="000000"/>
          <w:sz w:val="22"/>
          <w:u w:val="none"/>
        </w:rPr>
        <w:t>Who hires: The portfolio, valuations, and asset management groups at large platforms</w:t>
      </w:r>
    </w:p>
    <w:p>
      <w:pPr>
        <w:pStyle w:val="ListBullet"/>
        <w:spacing w:line="480" w:lineRule="auto" w:before="0" w:after="0"/>
      </w:pPr>
      <w:r>
        <w:rPr>
          <w:rFonts w:ascii="Arial" w:hAnsi="Arial" w:cs="Arial" w:eastAsia="Arial"/>
          <w:b w:val="0"/>
          <w:color w:val="000000"/>
          <w:sz w:val="22"/>
          <w:u w:val="none"/>
        </w:rPr>
        <w:t>Entry: Posted roles, less competitive than investing seats</w:t>
      </w:r>
    </w:p>
    <w:p>
      <w:pPr>
        <w:pStyle w:val="ListBullet"/>
        <w:spacing w:line="480" w:lineRule="auto" w:before="0" w:after="0"/>
      </w:pPr>
      <w:r>
        <w:rPr>
          <w:rFonts w:ascii="Arial" w:hAnsi="Arial" w:cs="Arial" w:eastAsia="Arial"/>
          <w:b w:val="0"/>
          <w:color w:val="000000"/>
          <w:sz w:val="22"/>
          <w:u w:val="none"/>
        </w:rPr>
        <w:t>Comp: Below investing track [VERIFY]</w:t>
      </w:r>
    </w:p>
    <w:p>
      <w:pPr>
        <w:pStyle w:val="ListBullet"/>
        <w:spacing w:line="480" w:lineRule="auto" w:before="0" w:after="0"/>
      </w:pPr>
      <w:r>
        <w:rPr>
          <w:rFonts w:ascii="Arial" w:hAnsi="Arial" w:cs="Arial" w:eastAsia="Arial"/>
          <w:b w:val="0"/>
          <w:color w:val="000000"/>
          <w:sz w:val="22"/>
          <w:u w:val="none"/>
        </w:rPr>
        <w:t>Conversion: Internal transfer where precedent exists</w:t>
      </w:r>
    </w:p>
    <w:p>
      <w:pPr>
        <w:spacing w:line="480" w:lineRule="auto" w:before="0" w:after="0"/>
      </w:pPr>
      <w:r>
        <w:rPr>
          <w:rFonts w:ascii="Arial" w:hAnsi="Arial" w:cs="Arial" w:eastAsia="Arial"/>
          <w:b/>
          <w:color w:val="000000"/>
          <w:sz w:val="22"/>
          <w:u w:val="none"/>
        </w:rPr>
        <w:t>Concrete takeaway: ask the transfer-precedent question in the interview itself, and treat a vague answer as your answer.</w:t>
      </w:r>
    </w:p>
    <w:p>
      <w:pPr>
        <w:spacing w:line="480" w:lineRule="auto" w:before="0" w:after="0"/>
      </w:pPr>
      <w:r>
        <w:rPr>
          <w:rFonts w:ascii="Arial" w:hAnsi="Arial" w:cs="Arial" w:eastAsia="Arial"/>
          <w:b/>
          <w:color w:val="000000"/>
          <w:sz w:val="36"/>
          <w:u w:val="none"/>
        </w:rPr>
        <w:t>What's not on this list</w:t>
      </w:r>
    </w:p>
    <w:p>
      <w:pPr>
        <w:spacing w:line="480" w:lineRule="auto" w:before="0" w:after="0"/>
      </w:pPr>
      <w:r>
        <w:rPr>
          <w:rFonts w:ascii="Arial" w:hAnsi="Arial" w:cs="Arial" w:eastAsia="Arial"/>
          <w:b w:val="0"/>
          <w:color w:val="000000"/>
          <w:sz w:val="22"/>
          <w:u w:val="none"/>
        </w:rPr>
        <w:t>Distressed hedge funds like Elliott and Davidson Kempner hire from RX groups and credit platforms, not from campus, so they're an exit two moves away. Sponsor coverage banking feeds PE more than credit. Fund administration and operations roles at third-party servicers touch private credit paperwork without building underwriting judgment, which is why they don't convert.</w:t>
      </w:r>
    </w:p>
    <w:p>
      <w:pPr>
        <w:spacing w:line="480" w:lineRule="auto" w:before="0" w:after="0"/>
      </w:pPr>
      <w:r>
        <w:rPr>
          <w:rFonts w:ascii="Arial" w:hAnsi="Arial" w:cs="Arial" w:eastAsia="Arial"/>
          <w:b/>
          <w:color w:val="000000"/>
          <w:sz w:val="36"/>
          <w:u w:val="none"/>
        </w:rPr>
        <w:t>Sequencing the applications</w:t>
      </w:r>
    </w:p>
    <w:p>
      <w:pPr>
        <w:spacing w:line="480" w:lineRule="auto" w:before="0" w:after="0"/>
      </w:pPr>
      <w:r>
        <w:rPr>
          <w:rFonts w:ascii="Arial" w:hAnsi="Arial" w:cs="Arial" w:eastAsia="Arial"/>
          <w:b w:val="0"/>
          <w:color w:val="000000"/>
          <w:sz w:val="22"/>
          <w:u w:val="none"/>
        </w:rPr>
        <w:t>The windows stagger, which is the practical gift of this list. Mega-fund credit applications open in sophomore fall and close early [VERIFY]. Dedicated lenders post through fall and winter on their own calendars. Banks run the standard IB timeline. Ratings agencies and asset managers recruit junior fall. A sophomore who starts in August can run items 1 through 6 in sequence without any two deadlines colliding, then hold 7 through 10 as the spring layer.</w:t>
      </w:r>
    </w:p>
    <w:p>
      <w:pPr>
        <w:spacing w:line="480" w:lineRule="auto" w:before="0" w:after="0"/>
      </w:pPr>
      <w:r>
        <w:rPr>
          <w:rFonts w:ascii="Arial" w:hAnsi="Arial" w:cs="Arial" w:eastAsia="Arial"/>
          <w:b w:val="0"/>
          <w:color w:val="000000"/>
          <w:sz w:val="22"/>
          <w:u w:val="none"/>
        </w:rPr>
        <w:t>Prep once for all of them: accounting fluency, the credit vocabulary in our Beginner's Guide to Private Credit, and the would-you-lend framework from our 20 Private Credit Interview Questions. The seats differ. The interview core doesn't.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