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Top 10 Private Equity Recruiting Firms (and How Each One Actually Hires)</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ranks the top 10 private equity headhunter firms, the funds each one places into, and the move that gets you on their radar early.</w:t>
      </w:r>
    </w:p>
    <w:p>
      <w:pPr>
        <w:spacing w:line="480" w:lineRule="auto" w:before="0" w:after="0"/>
      </w:pPr>
      <w:r>
        <w:rPr>
          <w:rFonts w:ascii="Arial" w:hAnsi="Arial" w:cs="Arial" w:eastAsia="Arial"/>
          <w:b w:val="0"/>
          <w:color w:val="000000"/>
          <w:sz w:val="22"/>
          <w:u w:val="none"/>
        </w:rPr>
        <w:t xml:space="preserve">Private equity headhunters are the actual gatekeepers of buy-side recruiting. </w:t>
      </w:r>
      <w:r>
        <w:rPr>
          <w:rFonts w:ascii="Arial" w:hAnsi="Arial" w:cs="Arial" w:eastAsia="Arial"/>
          <w:b/>
          <w:color w:val="000000"/>
          <w:sz w:val="22"/>
          <w:u w:val="none"/>
        </w:rPr>
        <w:t>You can have a 3.9 GPA from Wharton and two years at Goldman M&amp;A, and if the right headhunter doesn't know your name, you will not get a megafund interview.</w:t>
      </w:r>
    </w:p>
    <w:p>
      <w:pPr>
        <w:spacing w:line="480" w:lineRule="auto" w:before="0" w:after="0"/>
      </w:pPr>
      <w:r>
        <w:rPr>
          <w:rFonts w:ascii="Arial" w:hAnsi="Arial" w:cs="Arial" w:eastAsia="Arial"/>
          <w:b w:val="0"/>
          <w:color w:val="000000"/>
          <w:sz w:val="22"/>
          <w:u w:val="none"/>
        </w:rPr>
        <w:t>That's the trade-off you accept when you choose to go through on-cycle PE recruiting. A small set of firms control the funnel, and you need to be on their radar months before applications open.</w:t>
      </w:r>
    </w:p>
    <w:p>
      <w:pPr>
        <w:spacing w:line="480" w:lineRule="auto" w:before="0" w:after="0"/>
      </w:pPr>
      <w:r>
        <w:rPr>
          <w:rFonts w:ascii="Arial" w:hAnsi="Arial" w:cs="Arial" w:eastAsia="Arial"/>
          <w:b w:val="0"/>
          <w:color w:val="000000"/>
          <w:sz w:val="22"/>
          <w:u w:val="none"/>
        </w:rPr>
        <w:t xml:space="preserve">This list ranks the 10 PE headhunter firms that actually move the needle in 2026. Some focus on megafunds. Some focus on the upper middle market. Some are more active in growth equity, hedge funds, or specific verticals. </w:t>
      </w:r>
      <w:r>
        <w:rPr>
          <w:rFonts w:ascii="Arial" w:hAnsi="Arial" w:cs="Arial" w:eastAsia="Arial"/>
          <w:b/>
          <w:color w:val="000000"/>
          <w:sz w:val="22"/>
          <w:u w:val="none"/>
        </w:rPr>
        <w:t>Knowing which headhunters cover which funds is what separates candidates who get the interview from candidates who get the rejection email three weeks later.</w:t>
      </w:r>
    </w:p>
    <w:p>
      <w:pPr>
        <w:spacing w:line="480" w:lineRule="auto" w:before="0" w:after="0"/>
      </w:pPr>
      <w:r>
        <w:rPr>
          <w:rFonts w:ascii="Arial" w:hAnsi="Arial" w:cs="Arial" w:eastAsia="Arial"/>
          <w:b w:val="0"/>
          <w:color w:val="000000"/>
          <w:sz w:val="22"/>
          <w:u w:val="none"/>
        </w:rPr>
        <w:t>As a Harvard alum who went through MBB on-cycle recruiting (the consulting analog of the PE headhunter funnel) and now runs WSG coaching candidates through the buy-side process, this is the list I would send anyone six months ahead of recruiting.</w:t>
      </w:r>
    </w:p>
    <w:p>
      <w:pPr>
        <w:spacing w:line="480" w:lineRule="auto" w:before="0" w:after="0"/>
      </w:pPr>
      <w:r>
        <w:rPr>
          <w:rFonts w:ascii="Arial" w:hAnsi="Arial" w:cs="Arial" w:eastAsia="Arial"/>
          <w:b/>
          <w:color w:val="000000"/>
          <w:sz w:val="36"/>
          <w:u w:val="none"/>
        </w:rPr>
        <w:t>What does a PE headhunter actually do?</w:t>
      </w:r>
    </w:p>
    <w:p>
      <w:pPr>
        <w:spacing w:line="480" w:lineRule="auto" w:before="0" w:after="0"/>
      </w:pPr>
      <w:r>
        <w:rPr>
          <w:rFonts w:ascii="Arial" w:hAnsi="Arial" w:cs="Arial" w:eastAsia="Arial"/>
          <w:b w:val="0"/>
          <w:color w:val="000000"/>
          <w:sz w:val="22"/>
          <w:u w:val="none"/>
        </w:rPr>
        <w:t>A PE recruiting firm is hired by private equity funds to source, screen, and present candidates for analyst, associate, and senior roles. The headhunter takes a fee from the fund per placement.</w:t>
      </w:r>
    </w:p>
    <w:p>
      <w:pPr>
        <w:spacing w:line="480" w:lineRule="auto" w:before="0" w:after="0"/>
      </w:pPr>
      <w:r>
        <w:rPr>
          <w:rFonts w:ascii="Arial" w:hAnsi="Arial" w:cs="Arial" w:eastAsia="Arial"/>
          <w:b/>
          <w:color w:val="000000"/>
          <w:sz w:val="22"/>
          <w:u w:val="none"/>
        </w:rPr>
        <w:t>For IB analysts targeting PE, the headhunter is almost always the first call you get, the first interview you do, and the gatekeeper between you and a Blackstone partner.</w:t>
      </w:r>
    </w:p>
    <w:p>
      <w:pPr>
        <w:spacing w:line="480" w:lineRule="auto" w:before="0" w:after="0"/>
      </w:pPr>
      <w:r>
        <w:rPr>
          <w:rFonts w:ascii="Arial" w:hAnsi="Arial" w:cs="Arial" w:eastAsia="Arial"/>
          <w:b/>
          <w:color w:val="000000"/>
          <w:sz w:val="36"/>
          <w:u w:val="none"/>
        </w:rPr>
        <w:t>Why does coverage matter?</w:t>
      </w:r>
    </w:p>
    <w:p>
      <w:pPr>
        <w:spacing w:line="480" w:lineRule="auto" w:before="0" w:after="0"/>
      </w:pPr>
      <w:r>
        <w:rPr>
          <w:rFonts w:ascii="Arial" w:hAnsi="Arial" w:cs="Arial" w:eastAsia="Arial"/>
          <w:b w:val="0"/>
          <w:color w:val="000000"/>
          <w:sz w:val="22"/>
          <w:u w:val="none"/>
        </w:rPr>
        <w:t>Each PE fund typically works with one or two primary headhunters who handle the bulk of their analyst and associate hiring.</w:t>
      </w:r>
    </w:p>
    <w:p>
      <w:pPr>
        <w:spacing w:line="480" w:lineRule="auto" w:before="0" w:after="0"/>
      </w:pPr>
      <w:r>
        <w:rPr>
          <w:rFonts w:ascii="Arial" w:hAnsi="Arial" w:cs="Arial" w:eastAsia="Arial"/>
          <w:b/>
          <w:color w:val="000000"/>
          <w:sz w:val="22"/>
          <w:u w:val="none"/>
        </w:rPr>
        <w:t>If you want a seat at Blackstone, you need to be a known candidate to Henkel Search Partners. If you want Bain Capital, you should be on CPI's radar. If you want the upper middle market (Audax, GTCR, Madison Dearborn), Amity Search is the central conduit.</w:t>
      </w:r>
    </w:p>
    <w:p>
      <w:pPr>
        <w:spacing w:line="480" w:lineRule="auto" w:before="0" w:after="0"/>
      </w:pPr>
      <w:r>
        <w:rPr>
          <w:rFonts w:ascii="Arial" w:hAnsi="Arial" w:cs="Arial" w:eastAsia="Arial"/>
          <w:b w:val="0"/>
          <w:color w:val="000000"/>
          <w:sz w:val="22"/>
          <w:u w:val="none"/>
        </w:rPr>
        <w:t>A candidate who builds a relationship with one headhunter but ignores the rest will end up with interviews at half the funds they would have qualified for.</w:t>
      </w:r>
    </w:p>
    <w:p>
      <w:pPr>
        <w:spacing w:line="480" w:lineRule="auto" w:before="0" w:after="0"/>
      </w:pPr>
      <w:r>
        <w:rPr>
          <w:rFonts w:ascii="Arial" w:hAnsi="Arial" w:cs="Arial" w:eastAsia="Arial"/>
          <w:b/>
          <w:color w:val="000000"/>
          <w:sz w:val="36"/>
          <w:u w:val="none"/>
        </w:rPr>
        <w:t>What about firms that recruit directly?</w:t>
      </w:r>
    </w:p>
    <w:p>
      <w:pPr>
        <w:spacing w:line="480" w:lineRule="auto" w:before="0" w:after="0"/>
      </w:pPr>
      <w:r>
        <w:rPr>
          <w:rFonts w:ascii="Arial" w:hAnsi="Arial" w:cs="Arial" w:eastAsia="Arial"/>
          <w:b w:val="0"/>
          <w:color w:val="000000"/>
          <w:sz w:val="22"/>
          <w:u w:val="none"/>
        </w:rPr>
        <w:t xml:space="preserve">The megafunds (Blackstone, KKR, Apollo, Carlyle, Bain Capital) maintain dedicated campus recruiting teams that hire undergrads directly into sophomore and junior summer programs. </w:t>
      </w:r>
      <w:r>
        <w:rPr>
          <w:rFonts w:ascii="Arial" w:hAnsi="Arial" w:cs="Arial" w:eastAsia="Arial"/>
          <w:b/>
          <w:color w:val="000000"/>
          <w:sz w:val="22"/>
          <w:u w:val="none"/>
        </w:rPr>
        <w:t>For the direct undergrad path, you network with the firm itself, not the headhunter.</w:t>
      </w:r>
      <w:r>
        <w:rPr>
          <w:rFonts w:ascii="Arial" w:hAnsi="Arial" w:cs="Arial" w:eastAsia="Arial"/>
          <w:b w:val="0"/>
          <w:color w:val="000000"/>
          <w:sz w:val="22"/>
          <w:u w:val="none"/>
        </w:rPr>
        <w:t xml:space="preserve"> For IB-analyst-to-PE recruiting (the standard on-cycle path), the headhunter is the gate.</w:t>
      </w:r>
    </w:p>
    <w:p>
      <w:pPr>
        <w:spacing w:line="480" w:lineRule="auto" w:before="0" w:after="0"/>
      </w:pPr>
      <w:r>
        <w:rPr>
          <w:rFonts w:ascii="Arial" w:hAnsi="Arial" w:cs="Arial" w:eastAsia="Arial"/>
          <w:b w:val="0"/>
          <w:color w:val="000000"/>
          <w:sz w:val="22"/>
          <w:u w:val="none"/>
        </w:rPr>
        <w:t>Use this list when you are an IB analyst targeting on-cycle. If you are an undergrad targeting a megafund summer program, network with the fund's campus team directly and skip the headhunter route until you are post-graduation.</w:t>
      </w:r>
    </w:p>
    <w:p>
      <w:pPr>
        <w:spacing w:line="480" w:lineRule="auto" w:before="0" w:after="0"/>
      </w:pPr>
      <w:r>
        <w:rPr>
          <w:rFonts w:ascii="Arial" w:hAnsi="Arial" w:cs="Arial" w:eastAsia="Arial"/>
          <w:b/>
          <w:color w:val="000000"/>
          <w:sz w:val="36"/>
          <w:u w:val="none"/>
        </w:rPr>
        <w:t>Mega-Fund and Upper-Middle-Market Coverage</w:t>
      </w:r>
    </w:p>
    <w:p>
      <w:pPr>
        <w:spacing w:line="480" w:lineRule="auto" w:before="0" w:after="0"/>
      </w:pPr>
      <w:r>
        <w:rPr>
          <w:rFonts w:ascii="Arial" w:hAnsi="Arial" w:cs="Arial" w:eastAsia="Arial"/>
          <w:b w:val="0"/>
          <w:color w:val="000000"/>
          <w:sz w:val="22"/>
          <w:u w:val="none"/>
        </w:rPr>
        <w:t>These four firms together place into most of the funds that pay the highest compensation and offer the most prestigious training.</w:t>
      </w:r>
    </w:p>
    <w:p>
      <w:pPr>
        <w:spacing w:line="480" w:lineRule="auto" w:before="0" w:after="0"/>
      </w:pPr>
      <w:r>
        <w:rPr>
          <w:rFonts w:ascii="Arial" w:hAnsi="Arial" w:cs="Arial" w:eastAsia="Arial"/>
          <w:b/>
          <w:color w:val="000000"/>
          <w:sz w:val="28"/>
          <w:u w:val="single"/>
        </w:rPr>
        <w:t xml:space="preserve">1. </w:t>
      </w:r>
      <w:hyperlink r:id="rId9">
        <w:r>
          <w:rPr>
            <w:rFonts w:ascii="Arial" w:hAnsi="Arial" w:cs="Arial" w:eastAsia="Arial"/>
            <w:sz w:val="28"/>
            <w:color w:val="0563C1"/>
            <w:u w:val="single"/>
            <w:b/>
          </w:rPr>
          <w:t xml:space="preserve">Henkel Search Partners (HSP)</w:t>
        </w:r>
      </w:hyperlink>
    </w:p>
    <w:p>
      <w:pPr>
        <w:spacing w:line="480" w:lineRule="auto" w:before="0" w:after="0"/>
      </w:pPr>
      <w:r>
        <w:rPr>
          <w:rFonts w:ascii="Arial" w:hAnsi="Arial" w:cs="Arial" w:eastAsia="Arial"/>
          <w:b/>
          <w:color w:val="000000"/>
          <w:sz w:val="22"/>
          <w:u w:val="none"/>
        </w:rPr>
        <w:t>The most-cited mega-fund PE recruiting firm with the deepest client list across Blackstone, KKR, Carlyle, Apollo, and Bain Capital.</w:t>
      </w:r>
    </w:p>
    <w:p>
      <w:pPr>
        <w:spacing w:line="480" w:lineRule="auto" w:before="0" w:after="0"/>
      </w:pPr>
      <w:r>
        <w:rPr>
          <w:rFonts w:ascii="Arial" w:hAnsi="Arial" w:cs="Arial" w:eastAsia="Arial"/>
          <w:b w:val="0"/>
          <w:color w:val="000000"/>
          <w:sz w:val="22"/>
          <w:u w:val="none"/>
        </w:rPr>
        <w:t>Henkel Search Partners was founded in 2011 by Eleni Henkel and Leah Trabich. Henkel started her career at Morgan Stanley investment banking before moving to SG Partners and then spinning out HSP. The firm runs a tight process: a single coverage analyst per candidate, real preparation sessions, and an honest assessment of which funds you're likely to land.</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First-year and second-year IB analysts at credible firms (BB, EB, top MM).</w:t>
      </w:r>
    </w:p>
    <w:p>
      <w:pPr>
        <w:pStyle w:val="ListBullet"/>
        <w:spacing w:line="480" w:lineRule="auto" w:before="0" w:after="0"/>
      </w:pPr>
      <w:r>
        <w:rPr>
          <w:rFonts w:ascii="Arial" w:hAnsi="Arial" w:cs="Arial" w:eastAsia="Arial"/>
          <w:b/>
          <w:color w:val="000000"/>
          <w:sz w:val="22"/>
          <w:u w:val="none"/>
        </w:rPr>
        <w:t>Recruiting cadence:</w:t>
      </w:r>
      <w:r>
        <w:rPr>
          <w:rFonts w:ascii="Arial" w:hAnsi="Arial" w:cs="Arial" w:eastAsia="Arial"/>
          <w:b w:val="0"/>
          <w:color w:val="000000"/>
          <w:sz w:val="22"/>
          <w:u w:val="none"/>
        </w:rPr>
        <w:t xml:space="preserve"> Reaches out to first-year IB analysts in late spring and early summer of their first analyst year.</w:t>
      </w:r>
    </w:p>
    <w:p>
      <w:pPr>
        <w:pStyle w:val="ListBullet"/>
        <w:spacing w:line="480" w:lineRule="auto" w:before="0" w:after="0"/>
      </w:pPr>
      <w:r>
        <w:rPr>
          <w:rFonts w:ascii="Arial" w:hAnsi="Arial" w:cs="Arial" w:eastAsia="Arial"/>
          <w:b/>
          <w:color w:val="000000"/>
          <w:sz w:val="22"/>
          <w:u w:val="none"/>
        </w:rPr>
        <w:t>Who they place:</w:t>
      </w:r>
      <w:r>
        <w:rPr>
          <w:rFonts w:ascii="Arial" w:hAnsi="Arial" w:cs="Arial" w:eastAsia="Arial"/>
          <w:b w:val="0"/>
          <w:color w:val="000000"/>
          <w:sz w:val="22"/>
          <w:u w:val="none"/>
        </w:rPr>
        <w:t xml:space="preserve"> Blackstone, KKR, Apollo, Carlyle, Bain Capital, Vista Equity, Thoma Bravo, Silver Lake.</w:t>
      </w:r>
    </w:p>
    <w:p>
      <w:pPr>
        <w:spacing w:line="480" w:lineRule="auto" w:before="0" w:after="0"/>
      </w:pPr>
      <w:r>
        <w:rPr>
          <w:rFonts w:ascii="Arial" w:hAnsi="Arial" w:cs="Arial" w:eastAsia="Arial"/>
          <w:b/>
          <w:color w:val="000000"/>
          <w:sz w:val="22"/>
          <w:u w:val="none"/>
        </w:rPr>
        <w:t>Concrete takeaway:</w:t>
      </w:r>
      <w:r>
        <w:rPr>
          <w:rFonts w:ascii="Arial" w:hAnsi="Arial" w:cs="Arial" w:eastAsia="Arial"/>
          <w:b w:val="0"/>
          <w:color w:val="000000"/>
          <w:sz w:val="22"/>
          <w:u w:val="none"/>
        </w:rPr>
        <w:t xml:space="preserve"> If you haven't been contacted by July of your first analyst year, reach out directly via the firm's website and reference an analyst at your firm who can vouch.</w:t>
      </w:r>
    </w:p>
    <w:p>
      <w:pPr>
        <w:spacing w:line="480" w:lineRule="auto" w:before="0" w:after="0"/>
      </w:pPr>
      <w:r>
        <w:rPr>
          <w:rFonts w:ascii="Arial" w:hAnsi="Arial" w:cs="Arial" w:eastAsia="Arial"/>
          <w:b/>
          <w:color w:val="000000"/>
          <w:sz w:val="28"/>
          <w:u w:val="single"/>
        </w:rPr>
        <w:t xml:space="preserve">2. </w:t>
      </w:r>
      <w:hyperlink r:id="rId10">
        <w:r>
          <w:rPr>
            <w:rFonts w:ascii="Arial" w:hAnsi="Arial" w:cs="Arial" w:eastAsia="Arial"/>
            <w:sz w:val="28"/>
            <w:color w:val="0563C1"/>
            <w:u w:val="single"/>
            <w:b/>
          </w:rPr>
          <w:t xml:space="preserve">CPI Partners</w:t>
        </w:r>
      </w:hyperlink>
    </w:p>
    <w:p>
      <w:pPr>
        <w:spacing w:line="480" w:lineRule="auto" w:before="0" w:after="0"/>
      </w:pPr>
      <w:r>
        <w:rPr>
          <w:rFonts w:ascii="Arial" w:hAnsi="Arial" w:cs="Arial" w:eastAsia="Arial"/>
          <w:b/>
          <w:color w:val="000000"/>
          <w:sz w:val="22"/>
          <w:u w:val="none"/>
        </w:rPr>
        <w:t>Same tier as Henkel with a great client list, founded in 1996 and the longest-running PE-focused executive search firm in the industry.</w:t>
      </w:r>
    </w:p>
    <w:p>
      <w:pPr>
        <w:spacing w:line="480" w:lineRule="auto" w:before="0" w:after="0"/>
      </w:pPr>
      <w:r>
        <w:rPr>
          <w:rFonts w:ascii="Arial" w:hAnsi="Arial" w:cs="Arial" w:eastAsia="Arial"/>
          <w:b w:val="0"/>
          <w:color w:val="000000"/>
          <w:sz w:val="22"/>
          <w:u w:val="none"/>
        </w:rPr>
        <w:t>CPI Partners was founded by Brian O'Callaghan in 1996. The firm handles roughly 3,000 applicants per year. Historically particularly strong on Bain Capital, KKR, and Audax placements. Higher-volume process than Henkel.</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First-year and second-year IB analysts.</w:t>
      </w:r>
    </w:p>
    <w:p>
      <w:pPr>
        <w:pStyle w:val="ListBullet"/>
        <w:spacing w:line="480" w:lineRule="auto" w:before="0" w:after="0"/>
      </w:pPr>
      <w:r>
        <w:rPr>
          <w:rFonts w:ascii="Arial" w:hAnsi="Arial" w:cs="Arial" w:eastAsia="Arial"/>
          <w:b/>
          <w:color w:val="000000"/>
          <w:sz w:val="22"/>
          <w:u w:val="none"/>
        </w:rPr>
        <w:t>Recruiting cadence:</w:t>
      </w:r>
      <w:r>
        <w:rPr>
          <w:rFonts w:ascii="Arial" w:hAnsi="Arial" w:cs="Arial" w:eastAsia="Arial"/>
          <w:b w:val="0"/>
          <w:color w:val="000000"/>
          <w:sz w:val="22"/>
          <w:u w:val="none"/>
        </w:rPr>
        <w:t xml:space="preserve"> Reaches out in late spring of first analyst year. Higher volume than Henkel.</w:t>
      </w:r>
    </w:p>
    <w:p>
      <w:pPr>
        <w:pStyle w:val="ListBullet"/>
        <w:spacing w:line="480" w:lineRule="auto" w:before="0" w:after="0"/>
      </w:pPr>
      <w:r>
        <w:rPr>
          <w:rFonts w:ascii="Arial" w:hAnsi="Arial" w:cs="Arial" w:eastAsia="Arial"/>
          <w:b/>
          <w:color w:val="000000"/>
          <w:sz w:val="22"/>
          <w:u w:val="none"/>
        </w:rPr>
        <w:t>Who they place:</w:t>
      </w:r>
      <w:r>
        <w:rPr>
          <w:rFonts w:ascii="Arial" w:hAnsi="Arial" w:cs="Arial" w:eastAsia="Arial"/>
          <w:b w:val="0"/>
          <w:color w:val="000000"/>
          <w:sz w:val="22"/>
          <w:u w:val="none"/>
        </w:rPr>
        <w:t xml:space="preserve"> Bain Capital, KKR, Audax, Berkshire Partners, GTCR, Madison Dearborn, Hellman &amp; Friedman.</w:t>
      </w:r>
    </w:p>
    <w:p>
      <w:pPr>
        <w:spacing w:line="480" w:lineRule="auto" w:before="0" w:after="0"/>
      </w:pPr>
      <w:r>
        <w:rPr>
          <w:rFonts w:ascii="Arial" w:hAnsi="Arial" w:cs="Arial" w:eastAsia="Arial"/>
          <w:b/>
          <w:color w:val="000000"/>
          <w:sz w:val="22"/>
          <w:u w:val="none"/>
        </w:rPr>
        <w:t>Concrete takeaway:</w:t>
      </w:r>
      <w:r>
        <w:rPr>
          <w:rFonts w:ascii="Arial" w:hAnsi="Arial" w:cs="Arial" w:eastAsia="Arial"/>
          <w:b w:val="0"/>
          <w:color w:val="000000"/>
          <w:sz w:val="22"/>
          <w:u w:val="none"/>
        </w:rPr>
        <w:t xml:space="preserve"> CPI is the headhunter you want covering you if your first-choice funds are Bain Capital or Audax.</w:t>
      </w:r>
    </w:p>
    <w:p>
      <w:pPr>
        <w:spacing w:line="480" w:lineRule="auto" w:before="0" w:after="0"/>
      </w:pPr>
      <w:r>
        <w:rPr>
          <w:rFonts w:ascii="Arial" w:hAnsi="Arial" w:cs="Arial" w:eastAsia="Arial"/>
          <w:b/>
          <w:color w:val="000000"/>
          <w:sz w:val="28"/>
          <w:u w:val="single"/>
        </w:rPr>
        <w:t xml:space="preserve">3. </w:t>
      </w:r>
      <w:hyperlink r:id="rId11">
        <w:r>
          <w:rPr>
            <w:rFonts w:ascii="Arial" w:hAnsi="Arial" w:cs="Arial" w:eastAsia="Arial"/>
            <w:sz w:val="28"/>
            <w:color w:val="0563C1"/>
            <w:u w:val="single"/>
            <w:b/>
          </w:rPr>
          <w:t xml:space="preserve">Amity Search Partners</w:t>
        </w:r>
      </w:hyperlink>
    </w:p>
    <w:p>
      <w:pPr>
        <w:spacing w:line="480" w:lineRule="auto" w:before="0" w:after="0"/>
      </w:pPr>
      <w:r>
        <w:rPr>
          <w:rFonts w:ascii="Arial" w:hAnsi="Arial" w:cs="Arial" w:eastAsia="Arial"/>
          <w:b/>
          <w:color w:val="000000"/>
          <w:sz w:val="22"/>
          <w:u w:val="none"/>
        </w:rPr>
        <w:t>The strongest middle market and upper-middle-market coverage on the street.</w:t>
      </w:r>
    </w:p>
    <w:p>
      <w:pPr>
        <w:spacing w:line="480" w:lineRule="auto" w:before="0" w:after="0"/>
      </w:pPr>
      <w:r>
        <w:rPr>
          <w:rFonts w:ascii="Arial" w:hAnsi="Arial" w:cs="Arial" w:eastAsia="Arial"/>
          <w:b w:val="0"/>
          <w:color w:val="000000"/>
          <w:sz w:val="22"/>
          <w:u w:val="none"/>
        </w:rPr>
        <w:t>Amity Search Partners was founded in 2009 by Pam Esterson and Susanna Nichols after both left SG Partners. The firm is the most candidate-friendly of the major headhunters. Coverage analysts spend more time on prep, push back honestly on fund fit, and have a strong track record of not over-promising.</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First-year and second-year IB analysts at BB, EB, MM, and top consulting firms.</w:t>
      </w:r>
    </w:p>
    <w:p>
      <w:pPr>
        <w:pStyle w:val="ListBullet"/>
        <w:spacing w:line="480" w:lineRule="auto" w:before="0" w:after="0"/>
      </w:pPr>
      <w:r>
        <w:rPr>
          <w:rFonts w:ascii="Arial" w:hAnsi="Arial" w:cs="Arial" w:eastAsia="Arial"/>
          <w:b/>
          <w:color w:val="000000"/>
          <w:sz w:val="22"/>
          <w:u w:val="none"/>
        </w:rPr>
        <w:t>Recruiting cadence:</w:t>
      </w:r>
      <w:r>
        <w:rPr>
          <w:rFonts w:ascii="Arial" w:hAnsi="Arial" w:cs="Arial" w:eastAsia="Arial"/>
          <w:b w:val="0"/>
          <w:color w:val="000000"/>
          <w:sz w:val="22"/>
          <w:u w:val="none"/>
        </w:rPr>
        <w:t xml:space="preserve"> Active outreach in spring and summer of first analyst year.</w:t>
      </w:r>
    </w:p>
    <w:p>
      <w:pPr>
        <w:pStyle w:val="ListBullet"/>
        <w:spacing w:line="480" w:lineRule="auto" w:before="0" w:after="0"/>
      </w:pPr>
      <w:r>
        <w:rPr>
          <w:rFonts w:ascii="Arial" w:hAnsi="Arial" w:cs="Arial" w:eastAsia="Arial"/>
          <w:b/>
          <w:color w:val="000000"/>
          <w:sz w:val="22"/>
          <w:u w:val="none"/>
        </w:rPr>
        <w:t>Who they place:</w:t>
      </w:r>
      <w:r>
        <w:rPr>
          <w:rFonts w:ascii="Arial" w:hAnsi="Arial" w:cs="Arial" w:eastAsia="Arial"/>
          <w:b w:val="0"/>
          <w:color w:val="000000"/>
          <w:sz w:val="22"/>
          <w:u w:val="none"/>
        </w:rPr>
        <w:t xml:space="preserve"> Audax, Berkshire Partners, GTCR, Madison Dearborn, Hellman &amp; Friedman, Veritas Capital, Genstar Capital.</w:t>
      </w:r>
    </w:p>
    <w:p>
      <w:pPr>
        <w:spacing w:line="480" w:lineRule="auto" w:before="0" w:after="0"/>
      </w:pPr>
      <w:r>
        <w:rPr>
          <w:rFonts w:ascii="Arial" w:hAnsi="Arial" w:cs="Arial" w:eastAsia="Arial"/>
          <w:b/>
          <w:color w:val="000000"/>
          <w:sz w:val="22"/>
          <w:u w:val="none"/>
        </w:rPr>
        <w:t>Concrete takeaway:</w:t>
      </w:r>
      <w:r>
        <w:rPr>
          <w:rFonts w:ascii="Arial" w:hAnsi="Arial" w:cs="Arial" w:eastAsia="Arial"/>
          <w:b w:val="0"/>
          <w:color w:val="000000"/>
          <w:sz w:val="22"/>
          <w:u w:val="none"/>
        </w:rPr>
        <w:t xml:space="preserve"> If your target list is UMM and MM (Audax, GTCR, Madison Dearborn, Genstar, Veritas), Amity should be your primary headhunter relationship.</w:t>
      </w:r>
    </w:p>
    <w:p>
      <w:pPr>
        <w:spacing w:line="480" w:lineRule="auto" w:before="0" w:after="0"/>
      </w:pPr>
      <w:r>
        <w:rPr>
          <w:rFonts w:ascii="Arial" w:hAnsi="Arial" w:cs="Arial" w:eastAsia="Arial"/>
          <w:b/>
          <w:color w:val="000000"/>
          <w:sz w:val="28"/>
          <w:u w:val="single"/>
        </w:rPr>
        <w:t xml:space="preserve">4. </w:t>
      </w:r>
      <w:hyperlink r:id="rId12">
        <w:r>
          <w:rPr>
            <w:rFonts w:ascii="Arial" w:hAnsi="Arial" w:cs="Arial" w:eastAsia="Arial"/>
            <w:sz w:val="28"/>
            <w:color w:val="0563C1"/>
            <w:u w:val="single"/>
            <w:b/>
          </w:rPr>
          <w:t xml:space="preserve">SG Partners</w:t>
        </w:r>
      </w:hyperlink>
    </w:p>
    <w:p>
      <w:pPr>
        <w:spacing w:line="480" w:lineRule="auto" w:before="0" w:after="0"/>
      </w:pPr>
      <w:r>
        <w:rPr>
          <w:rFonts w:ascii="Arial" w:hAnsi="Arial" w:cs="Arial" w:eastAsia="Arial"/>
          <w:b/>
          <w:color w:val="000000"/>
          <w:sz w:val="22"/>
          <w:u w:val="none"/>
        </w:rPr>
        <w:t>The longest-running buy-side recruiting shop in the industry, with deep relationships across mega-fund PE, hedge funds, and family offices.</w:t>
      </w:r>
    </w:p>
    <w:p>
      <w:pPr>
        <w:spacing w:line="480" w:lineRule="auto" w:before="0" w:after="0"/>
      </w:pPr>
      <w:r>
        <w:rPr>
          <w:rFonts w:ascii="Arial" w:hAnsi="Arial" w:cs="Arial" w:eastAsia="Arial"/>
          <w:b w:val="0"/>
          <w:color w:val="000000"/>
          <w:sz w:val="22"/>
          <w:u w:val="none"/>
        </w:rPr>
        <w:t>Useful for candidates who haven't fully decided between PE and hedge funds. Amity's founders broke off from SG Partners in 2009, but SG still has a strong active client list.</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First-year and second-year IB analysts at credible firms.</w:t>
      </w:r>
    </w:p>
    <w:p>
      <w:pPr>
        <w:pStyle w:val="ListBullet"/>
        <w:spacing w:line="480" w:lineRule="auto" w:before="0" w:after="0"/>
      </w:pPr>
      <w:r>
        <w:rPr>
          <w:rFonts w:ascii="Arial" w:hAnsi="Arial" w:cs="Arial" w:eastAsia="Arial"/>
          <w:b/>
          <w:color w:val="000000"/>
          <w:sz w:val="22"/>
          <w:u w:val="none"/>
        </w:rPr>
        <w:t>Recruiting cadence:</w:t>
      </w:r>
      <w:r>
        <w:rPr>
          <w:rFonts w:ascii="Arial" w:hAnsi="Arial" w:cs="Arial" w:eastAsia="Arial"/>
          <w:b w:val="0"/>
          <w:color w:val="000000"/>
          <w:sz w:val="22"/>
          <w:u w:val="none"/>
        </w:rPr>
        <w:t xml:space="preserve"> Active outreach in late spring through fall of first analyst year.</w:t>
      </w:r>
    </w:p>
    <w:p>
      <w:pPr>
        <w:pStyle w:val="ListBullet"/>
        <w:spacing w:line="480" w:lineRule="auto" w:before="0" w:after="0"/>
      </w:pPr>
      <w:r>
        <w:rPr>
          <w:rFonts w:ascii="Arial" w:hAnsi="Arial" w:cs="Arial" w:eastAsia="Arial"/>
          <w:b/>
          <w:color w:val="000000"/>
          <w:sz w:val="22"/>
          <w:u w:val="none"/>
        </w:rPr>
        <w:t>Who they place:</w:t>
      </w:r>
      <w:r>
        <w:rPr>
          <w:rFonts w:ascii="Arial" w:hAnsi="Arial" w:cs="Arial" w:eastAsia="Arial"/>
          <w:b w:val="0"/>
          <w:color w:val="000000"/>
          <w:sz w:val="22"/>
          <w:u w:val="none"/>
        </w:rPr>
        <w:t xml:space="preserve"> Mega-fund PE, hedge funds (Citadel, Millennium adjacents), family offices.</w:t>
      </w:r>
    </w:p>
    <w:p>
      <w:pPr>
        <w:spacing w:line="480" w:lineRule="auto" w:before="0" w:after="0"/>
      </w:pPr>
      <w:r>
        <w:rPr>
          <w:rFonts w:ascii="Arial" w:hAnsi="Arial" w:cs="Arial" w:eastAsia="Arial"/>
          <w:b/>
          <w:color w:val="000000"/>
          <w:sz w:val="22"/>
          <w:u w:val="none"/>
        </w:rPr>
        <w:t>Concrete takeaway:</w:t>
      </w:r>
      <w:r>
        <w:rPr>
          <w:rFonts w:ascii="Arial" w:hAnsi="Arial" w:cs="Arial" w:eastAsia="Arial"/>
          <w:b w:val="0"/>
          <w:color w:val="000000"/>
          <w:sz w:val="22"/>
          <w:u w:val="none"/>
        </w:rPr>
        <w:t xml:space="preserve"> SG Partners is the right call if you're undecided between PE and hedge funds.</w:t>
      </w:r>
    </w:p>
    <w:p>
      <w:pPr>
        <w:spacing w:line="480" w:lineRule="auto" w:before="0" w:after="0"/>
      </w:pPr>
      <w:r>
        <w:rPr>
          <w:rFonts w:ascii="Arial" w:hAnsi="Arial" w:cs="Arial" w:eastAsia="Arial"/>
          <w:b/>
          <w:color w:val="000000"/>
          <w:sz w:val="36"/>
          <w:u w:val="none"/>
        </w:rPr>
        <w:t>Growth Equity, VC, and Specialist Coverage</w:t>
      </w:r>
    </w:p>
    <w:p>
      <w:pPr>
        <w:spacing w:line="480" w:lineRule="auto" w:before="0" w:after="0"/>
      </w:pPr>
      <w:r>
        <w:rPr>
          <w:rFonts w:ascii="Arial" w:hAnsi="Arial" w:cs="Arial" w:eastAsia="Arial"/>
          <w:b w:val="0"/>
          <w:color w:val="000000"/>
          <w:sz w:val="22"/>
          <w:u w:val="none"/>
        </w:rPr>
        <w:t>These firms cover the funds that hire on slightly different timelines and accept slightly different candidate profiles than the mega-fund cycle.</w:t>
      </w:r>
    </w:p>
    <w:p>
      <w:pPr>
        <w:spacing w:line="480" w:lineRule="auto" w:before="0" w:after="0"/>
      </w:pPr>
      <w:r>
        <w:rPr>
          <w:rFonts w:ascii="Arial" w:hAnsi="Arial" w:cs="Arial" w:eastAsia="Arial"/>
          <w:b/>
          <w:color w:val="000000"/>
          <w:sz w:val="28"/>
          <w:u w:val="single"/>
        </w:rPr>
        <w:t xml:space="preserve">5. </w:t>
      </w:r>
      <w:hyperlink r:id="rId13">
        <w:r>
          <w:rPr>
            <w:rFonts w:ascii="Arial" w:hAnsi="Arial" w:cs="Arial" w:eastAsia="Arial"/>
            <w:sz w:val="28"/>
            <w:color w:val="0563C1"/>
            <w:u w:val="single"/>
            <w:b/>
          </w:rPr>
          <w:t xml:space="preserve">Ratio Advisors</w:t>
        </w:r>
      </w:hyperlink>
    </w:p>
    <w:p>
      <w:pPr>
        <w:spacing w:line="480" w:lineRule="auto" w:before="0" w:after="0"/>
      </w:pPr>
      <w:r>
        <w:rPr>
          <w:rFonts w:ascii="Arial" w:hAnsi="Arial" w:cs="Arial" w:eastAsia="Arial"/>
          <w:b/>
          <w:color w:val="000000"/>
          <w:sz w:val="22"/>
          <w:u w:val="none"/>
        </w:rPr>
        <w:t>Spun off from Amity Search Partners and operates with the same client base, with a particular focus on MBA-stage candidates.</w:t>
      </w:r>
    </w:p>
    <w:p>
      <w:pPr>
        <w:spacing w:line="480" w:lineRule="auto" w:before="0" w:after="0"/>
      </w:pPr>
      <w:r>
        <w:rPr>
          <w:rFonts w:ascii="Arial" w:hAnsi="Arial" w:cs="Arial" w:eastAsia="Arial"/>
          <w:b w:val="0"/>
          <w:color w:val="000000"/>
          <w:sz w:val="22"/>
          <w:u w:val="none"/>
        </w:rPr>
        <w:t>Ratio Advisors was founded in 2017 by Vedica Qalbani, Lindsey Mead, and Jessica Wu after they left Amity Search Partners. The firm hires pre-MBA and post-MBA talent plus enrolled MBA students, covering many of the same funds as Amity but with a different candidate mix.</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Pre-MBA IB analysts, post-MBA candidates, and enrolled MBA students.</w:t>
      </w:r>
    </w:p>
    <w:p>
      <w:pPr>
        <w:pStyle w:val="ListBullet"/>
        <w:spacing w:line="480" w:lineRule="auto" w:before="0" w:after="0"/>
      </w:pPr>
      <w:r>
        <w:rPr>
          <w:rFonts w:ascii="Arial" w:hAnsi="Arial" w:cs="Arial" w:eastAsia="Arial"/>
          <w:b/>
          <w:color w:val="000000"/>
          <w:sz w:val="22"/>
          <w:u w:val="none"/>
        </w:rPr>
        <w:t>Recruiting cadence:</w:t>
      </w:r>
      <w:r>
        <w:rPr>
          <w:rFonts w:ascii="Arial" w:hAnsi="Arial" w:cs="Arial" w:eastAsia="Arial"/>
          <w:b w:val="0"/>
          <w:color w:val="000000"/>
          <w:sz w:val="22"/>
          <w:u w:val="none"/>
        </w:rPr>
        <w:t xml:space="preserve"> Active during the standard on-cycle window plus the MBA recruiting calendar.</w:t>
      </w:r>
    </w:p>
    <w:p>
      <w:pPr>
        <w:pStyle w:val="ListBullet"/>
        <w:spacing w:line="480" w:lineRule="auto" w:before="0" w:after="0"/>
      </w:pPr>
      <w:r>
        <w:rPr>
          <w:rFonts w:ascii="Arial" w:hAnsi="Arial" w:cs="Arial" w:eastAsia="Arial"/>
          <w:b/>
          <w:color w:val="000000"/>
          <w:sz w:val="22"/>
          <w:u w:val="none"/>
        </w:rPr>
        <w:t>Who they place:</w:t>
      </w:r>
      <w:r>
        <w:rPr>
          <w:rFonts w:ascii="Arial" w:hAnsi="Arial" w:cs="Arial" w:eastAsia="Arial"/>
          <w:b w:val="0"/>
          <w:color w:val="000000"/>
          <w:sz w:val="22"/>
          <w:u w:val="none"/>
        </w:rPr>
        <w:t xml:space="preserve"> Mega-fund PE, hedge funds, alternative asset managers.</w:t>
      </w:r>
    </w:p>
    <w:p>
      <w:pPr>
        <w:spacing w:line="480" w:lineRule="auto" w:before="0" w:after="0"/>
      </w:pPr>
      <w:r>
        <w:rPr>
          <w:rFonts w:ascii="Arial" w:hAnsi="Arial" w:cs="Arial" w:eastAsia="Arial"/>
          <w:b/>
          <w:color w:val="000000"/>
          <w:sz w:val="22"/>
          <w:u w:val="none"/>
        </w:rPr>
        <w:t>Concrete takeaway:</w:t>
      </w:r>
      <w:r>
        <w:rPr>
          <w:rFonts w:ascii="Arial" w:hAnsi="Arial" w:cs="Arial" w:eastAsia="Arial"/>
          <w:b w:val="0"/>
          <w:color w:val="000000"/>
          <w:sz w:val="22"/>
          <w:u w:val="none"/>
        </w:rPr>
        <w:t xml:space="preserve"> If you're planning to do an MBA before going to PE, Ratio Advisors is the headhunter to maintain a long-term relationship with.</w:t>
      </w:r>
    </w:p>
    <w:p>
      <w:pPr>
        <w:spacing w:line="480" w:lineRule="auto" w:before="0" w:after="0"/>
      </w:pPr>
      <w:r>
        <w:rPr>
          <w:rFonts w:ascii="Arial" w:hAnsi="Arial" w:cs="Arial" w:eastAsia="Arial"/>
          <w:b/>
          <w:color w:val="000000"/>
          <w:sz w:val="28"/>
          <w:u w:val="single"/>
        </w:rPr>
        <w:t xml:space="preserve">6. </w:t>
      </w:r>
      <w:hyperlink r:id="rId14">
        <w:r>
          <w:rPr>
            <w:rFonts w:ascii="Arial" w:hAnsi="Arial" w:cs="Arial" w:eastAsia="Arial"/>
            <w:sz w:val="28"/>
            <w:color w:val="0563C1"/>
            <w:u w:val="single"/>
            <w:b/>
          </w:rPr>
          <w:t xml:space="preserve">Glocap Search</w:t>
        </w:r>
      </w:hyperlink>
    </w:p>
    <w:p>
      <w:pPr>
        <w:spacing w:line="480" w:lineRule="auto" w:before="0" w:after="0"/>
      </w:pPr>
      <w:r>
        <w:rPr>
          <w:rFonts w:ascii="Arial" w:hAnsi="Arial" w:cs="Arial" w:eastAsia="Arial"/>
          <w:b/>
          <w:color w:val="000000"/>
          <w:sz w:val="22"/>
          <w:u w:val="none"/>
        </w:rPr>
        <w:t>Founded in 1997, with strong growth equity and venture client coverage on top of traditional Wall Street investment search.</w:t>
      </w:r>
    </w:p>
    <w:p>
      <w:pPr>
        <w:spacing w:line="480" w:lineRule="auto" w:before="0" w:after="0"/>
      </w:pPr>
      <w:r>
        <w:rPr>
          <w:rFonts w:ascii="Arial" w:hAnsi="Arial" w:cs="Arial" w:eastAsia="Arial"/>
          <w:b w:val="0"/>
          <w:color w:val="000000"/>
          <w:sz w:val="22"/>
          <w:u w:val="none"/>
        </w:rPr>
        <w:t>Glocap was founded in 1997 by Adam Zoia. Today led by CEO Annette Krassner. More diversified than pure PE-focused names, with particularly strong relationships with growth equity and VC firms.</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First-year and second-year IB analysts, plus some undergrads applying for growth equity firms.</w:t>
      </w:r>
    </w:p>
    <w:p>
      <w:pPr>
        <w:pStyle w:val="ListBullet"/>
        <w:spacing w:line="480" w:lineRule="auto" w:before="0" w:after="0"/>
      </w:pPr>
      <w:r>
        <w:rPr>
          <w:rFonts w:ascii="Arial" w:hAnsi="Arial" w:cs="Arial" w:eastAsia="Arial"/>
          <w:b/>
          <w:color w:val="000000"/>
          <w:sz w:val="22"/>
          <w:u w:val="none"/>
        </w:rPr>
        <w:t>Recruiting cadence:</w:t>
      </w:r>
      <w:r>
        <w:rPr>
          <w:rFonts w:ascii="Arial" w:hAnsi="Arial" w:cs="Arial" w:eastAsia="Arial"/>
          <w:b w:val="0"/>
          <w:color w:val="000000"/>
          <w:sz w:val="22"/>
          <w:u w:val="none"/>
        </w:rPr>
        <w:t xml:space="preserve"> Active across the growth equity recruiting calendar.</w:t>
      </w:r>
    </w:p>
    <w:p>
      <w:pPr>
        <w:pStyle w:val="ListBullet"/>
        <w:spacing w:line="480" w:lineRule="auto" w:before="0" w:after="0"/>
      </w:pPr>
      <w:r>
        <w:rPr>
          <w:rFonts w:ascii="Arial" w:hAnsi="Arial" w:cs="Arial" w:eastAsia="Arial"/>
          <w:b/>
          <w:color w:val="000000"/>
          <w:sz w:val="22"/>
          <w:u w:val="none"/>
        </w:rPr>
        <w:t>Who they place:</w:t>
      </w:r>
      <w:r>
        <w:rPr>
          <w:rFonts w:ascii="Arial" w:hAnsi="Arial" w:cs="Arial" w:eastAsia="Arial"/>
          <w:b w:val="0"/>
          <w:color w:val="000000"/>
          <w:sz w:val="22"/>
          <w:u w:val="none"/>
        </w:rPr>
        <w:t xml:space="preserve"> Insight Partners, General Atlantic, TA Associates, Spectrum Equity, Summit Partners, Susquehanna Growth Equity.</w:t>
      </w:r>
    </w:p>
    <w:p>
      <w:pPr>
        <w:spacing w:line="480" w:lineRule="auto" w:before="0" w:after="0"/>
      </w:pPr>
      <w:r>
        <w:rPr>
          <w:rFonts w:ascii="Arial" w:hAnsi="Arial" w:cs="Arial" w:eastAsia="Arial"/>
          <w:b/>
          <w:color w:val="000000"/>
          <w:sz w:val="22"/>
          <w:u w:val="none"/>
        </w:rPr>
        <w:t>Concrete takeaway:</w:t>
      </w:r>
      <w:r>
        <w:rPr>
          <w:rFonts w:ascii="Arial" w:hAnsi="Arial" w:cs="Arial" w:eastAsia="Arial"/>
          <w:b w:val="0"/>
          <w:color w:val="000000"/>
          <w:sz w:val="22"/>
          <w:u w:val="none"/>
        </w:rPr>
        <w:t xml:space="preserve"> If your first-choice path is growth equity, Glocap is the headhunter you should prioritize.</w:t>
      </w:r>
    </w:p>
    <w:p>
      <w:pPr>
        <w:spacing w:line="480" w:lineRule="auto" w:before="0" w:after="0"/>
      </w:pPr>
      <w:r>
        <w:rPr>
          <w:rFonts w:ascii="Arial" w:hAnsi="Arial" w:cs="Arial" w:eastAsia="Arial"/>
          <w:b/>
          <w:color w:val="000000"/>
          <w:sz w:val="28"/>
          <w:u w:val="single"/>
        </w:rPr>
        <w:t xml:space="preserve">7. </w:t>
      </w:r>
      <w:hyperlink r:id="rId15">
        <w:r>
          <w:rPr>
            <w:rFonts w:ascii="Arial" w:hAnsi="Arial" w:cs="Arial" w:eastAsia="Arial"/>
            <w:sz w:val="28"/>
            <w:color w:val="0563C1"/>
            <w:u w:val="single"/>
            <w:b/>
          </w:rPr>
          <w:t xml:space="preserve">The Oxbridge Group</w:t>
        </w:r>
      </w:hyperlink>
    </w:p>
    <w:p>
      <w:pPr>
        <w:spacing w:line="480" w:lineRule="auto" w:before="0" w:after="0"/>
      </w:pPr>
      <w:r>
        <w:rPr>
          <w:rFonts w:ascii="Arial" w:hAnsi="Arial" w:cs="Arial" w:eastAsia="Arial"/>
          <w:b/>
          <w:color w:val="000000"/>
          <w:sz w:val="22"/>
          <w:u w:val="none"/>
        </w:rPr>
        <w:t>A long-running boutique with PE and hedge fund coverage and a flat managing-director-led process.</w:t>
      </w:r>
    </w:p>
    <w:p>
      <w:pPr>
        <w:spacing w:line="480" w:lineRule="auto" w:before="0" w:after="0"/>
      </w:pPr>
      <w:r>
        <w:rPr>
          <w:rFonts w:ascii="Arial" w:hAnsi="Arial" w:cs="Arial" w:eastAsia="Arial"/>
          <w:b w:val="0"/>
          <w:color w:val="000000"/>
          <w:sz w:val="22"/>
          <w:u w:val="none"/>
        </w:rPr>
        <w:t>One of the older names in buy-side recruiting. Covers PE and hedge funds with a particularly strong roster of mid-tier PE clients. More formal process than the high-volume shops, with a flat structure where managing directors are the primary interface for both clients and candidates throughout the search.</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IB analysts at BB and EB firms.</w:t>
      </w:r>
    </w:p>
    <w:p>
      <w:pPr>
        <w:pStyle w:val="ListBullet"/>
        <w:spacing w:line="480" w:lineRule="auto" w:before="0" w:after="0"/>
      </w:pPr>
      <w:r>
        <w:rPr>
          <w:rFonts w:ascii="Arial" w:hAnsi="Arial" w:cs="Arial" w:eastAsia="Arial"/>
          <w:b/>
          <w:color w:val="000000"/>
          <w:sz w:val="22"/>
          <w:u w:val="none"/>
        </w:rPr>
        <w:t>Recruiting cadence:</w:t>
      </w:r>
      <w:r>
        <w:rPr>
          <w:rFonts w:ascii="Arial" w:hAnsi="Arial" w:cs="Arial" w:eastAsia="Arial"/>
          <w:b w:val="0"/>
          <w:color w:val="000000"/>
          <w:sz w:val="22"/>
          <w:u w:val="none"/>
        </w:rPr>
        <w:t xml:space="preserve"> Active during the standard on-cycle window.</w:t>
      </w:r>
    </w:p>
    <w:p>
      <w:pPr>
        <w:pStyle w:val="ListBullet"/>
        <w:spacing w:line="480" w:lineRule="auto" w:before="0" w:after="0"/>
      </w:pPr>
      <w:r>
        <w:rPr>
          <w:rFonts w:ascii="Arial" w:hAnsi="Arial" w:cs="Arial" w:eastAsia="Arial"/>
          <w:b/>
          <w:color w:val="000000"/>
          <w:sz w:val="22"/>
          <w:u w:val="none"/>
        </w:rPr>
        <w:t>Who they place:</w:t>
      </w:r>
      <w:r>
        <w:rPr>
          <w:rFonts w:ascii="Arial" w:hAnsi="Arial" w:cs="Arial" w:eastAsia="Arial"/>
          <w:b w:val="0"/>
          <w:color w:val="000000"/>
          <w:sz w:val="22"/>
          <w:u w:val="none"/>
        </w:rPr>
        <w:t xml:space="preserve"> Mid-tier and upper-middle-market PE, plus selected hedge fund mandates.</w:t>
      </w:r>
    </w:p>
    <w:p>
      <w:pPr>
        <w:spacing w:line="480" w:lineRule="auto" w:before="0" w:after="0"/>
      </w:pPr>
      <w:r>
        <w:rPr>
          <w:rFonts w:ascii="Arial" w:hAnsi="Arial" w:cs="Arial" w:eastAsia="Arial"/>
          <w:b/>
          <w:color w:val="000000"/>
          <w:sz w:val="22"/>
          <w:u w:val="none"/>
        </w:rPr>
        <w:t>Concrete takeaway:</w:t>
      </w:r>
      <w:r>
        <w:rPr>
          <w:rFonts w:ascii="Arial" w:hAnsi="Arial" w:cs="Arial" w:eastAsia="Arial"/>
          <w:b w:val="0"/>
          <w:color w:val="000000"/>
          <w:sz w:val="22"/>
          <w:u w:val="none"/>
        </w:rPr>
        <w:t xml:space="preserve"> Oxbridge is a strong secondary relationship to maintain alongside one of the top-tier names.</w:t>
      </w:r>
    </w:p>
    <w:p>
      <w:pPr>
        <w:spacing w:line="480" w:lineRule="auto" w:before="0" w:after="0"/>
      </w:pPr>
      <w:r>
        <w:rPr>
          <w:rFonts w:ascii="Arial" w:hAnsi="Arial" w:cs="Arial" w:eastAsia="Arial"/>
          <w:b/>
          <w:color w:val="000000"/>
          <w:sz w:val="28"/>
          <w:u w:val="single"/>
        </w:rPr>
        <w:t xml:space="preserve">8. </w:t>
      </w:r>
      <w:hyperlink r:id="rId16">
        <w:r>
          <w:rPr>
            <w:rFonts w:ascii="Arial" w:hAnsi="Arial" w:cs="Arial" w:eastAsia="Arial"/>
            <w:sz w:val="28"/>
            <w:color w:val="0563C1"/>
            <w:u w:val="single"/>
            <w:b/>
          </w:rPr>
          <w:t xml:space="preserve">BellCast Partners</w:t>
        </w:r>
      </w:hyperlink>
    </w:p>
    <w:p>
      <w:pPr>
        <w:spacing w:line="480" w:lineRule="auto" w:before="0" w:after="0"/>
      </w:pPr>
      <w:r>
        <w:rPr>
          <w:rFonts w:ascii="Arial" w:hAnsi="Arial" w:cs="Arial" w:eastAsia="Arial"/>
          <w:b/>
          <w:color w:val="000000"/>
          <w:sz w:val="22"/>
          <w:u w:val="none"/>
        </w:rPr>
        <w:t>Works across the spectrum from entry-level through managing director placements, with strong PE, VC, and alternative asset management coverage.</w:t>
      </w:r>
    </w:p>
    <w:p>
      <w:pPr>
        <w:spacing w:line="480" w:lineRule="auto" w:before="0" w:after="0"/>
      </w:pPr>
      <w:r>
        <w:rPr>
          <w:rFonts w:ascii="Arial" w:hAnsi="Arial" w:cs="Arial" w:eastAsia="Arial"/>
          <w:b w:val="0"/>
          <w:color w:val="000000"/>
          <w:sz w:val="22"/>
          <w:u w:val="none"/>
        </w:rPr>
        <w:t>BellCast Partners was founded by Danielle Caston Strazzini and Alison Bellino Johnson, both formerly of CPI. One of the most active headhunters across the entire buy-side career spectrum. Particularly strong at the lower middle market and operating-heavy PE firms.</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All seniority levels. For undergrads and first-year IB analysts the relevant track is the PE Associate placement program.</w:t>
      </w:r>
    </w:p>
    <w:p>
      <w:pPr>
        <w:pStyle w:val="ListBullet"/>
        <w:spacing w:line="480" w:lineRule="auto" w:before="0" w:after="0"/>
      </w:pPr>
      <w:r>
        <w:rPr>
          <w:rFonts w:ascii="Arial" w:hAnsi="Arial" w:cs="Arial" w:eastAsia="Arial"/>
          <w:b/>
          <w:color w:val="000000"/>
          <w:sz w:val="22"/>
          <w:u w:val="none"/>
        </w:rPr>
        <w:t>Recruiting cadence:</w:t>
      </w:r>
      <w:r>
        <w:rPr>
          <w:rFonts w:ascii="Arial" w:hAnsi="Arial" w:cs="Arial" w:eastAsia="Arial"/>
          <w:b w:val="0"/>
          <w:color w:val="000000"/>
          <w:sz w:val="22"/>
          <w:u w:val="none"/>
        </w:rPr>
        <w:t xml:space="preserve"> Active year-round for the various seniority levels.</w:t>
      </w:r>
    </w:p>
    <w:p>
      <w:pPr>
        <w:pStyle w:val="ListBullet"/>
        <w:spacing w:line="480" w:lineRule="auto" w:before="0" w:after="0"/>
      </w:pPr>
      <w:r>
        <w:rPr>
          <w:rFonts w:ascii="Arial" w:hAnsi="Arial" w:cs="Arial" w:eastAsia="Arial"/>
          <w:b/>
          <w:color w:val="000000"/>
          <w:sz w:val="22"/>
          <w:u w:val="none"/>
        </w:rPr>
        <w:t>Who they place:</w:t>
      </w:r>
      <w:r>
        <w:rPr>
          <w:rFonts w:ascii="Arial" w:hAnsi="Arial" w:cs="Arial" w:eastAsia="Arial"/>
          <w:b w:val="0"/>
          <w:color w:val="000000"/>
          <w:sz w:val="22"/>
          <w:u w:val="none"/>
        </w:rPr>
        <w:t xml:space="preserve"> Lower middle market PE, operating-heavy PE firms, VC, alternative asset managers.</w:t>
      </w:r>
    </w:p>
    <w:p>
      <w:pPr>
        <w:spacing w:line="480" w:lineRule="auto" w:before="0" w:after="0"/>
      </w:pPr>
      <w:r>
        <w:rPr>
          <w:rFonts w:ascii="Arial" w:hAnsi="Arial" w:cs="Arial" w:eastAsia="Arial"/>
          <w:b/>
          <w:color w:val="000000"/>
          <w:sz w:val="22"/>
          <w:u w:val="none"/>
        </w:rPr>
        <w:t>Concrete takeaway:</w:t>
      </w:r>
      <w:r>
        <w:rPr>
          <w:rFonts w:ascii="Arial" w:hAnsi="Arial" w:cs="Arial" w:eastAsia="Arial"/>
          <w:b w:val="0"/>
          <w:color w:val="000000"/>
          <w:sz w:val="22"/>
          <w:u w:val="none"/>
        </w:rPr>
        <w:t xml:space="preserve"> BellCast is the right headhunter to know if your target funds are operating-heavy or lower middle market.</w:t>
      </w:r>
    </w:p>
    <w:p>
      <w:pPr>
        <w:spacing w:line="480" w:lineRule="auto" w:before="0" w:after="0"/>
      </w:pPr>
      <w:r>
        <w:rPr>
          <w:rFonts w:ascii="Arial" w:hAnsi="Arial" w:cs="Arial" w:eastAsia="Arial"/>
          <w:b/>
          <w:color w:val="000000"/>
          <w:sz w:val="28"/>
          <w:u w:val="single"/>
        </w:rPr>
        <w:t xml:space="preserve">9. </w:t>
      </w:r>
      <w:hyperlink r:id="rId17">
        <w:r>
          <w:rPr>
            <w:rFonts w:ascii="Arial" w:hAnsi="Arial" w:cs="Arial" w:eastAsia="Arial"/>
            <w:sz w:val="28"/>
            <w:color w:val="0563C1"/>
            <w:u w:val="single"/>
            <w:b/>
          </w:rPr>
          <w:t xml:space="preserve">Dynamics Search Partners (DSP)</w:t>
        </w:r>
      </w:hyperlink>
    </w:p>
    <w:p>
      <w:pPr>
        <w:spacing w:line="480" w:lineRule="auto" w:before="0" w:after="0"/>
      </w:pPr>
      <w:r>
        <w:rPr>
          <w:rFonts w:ascii="Arial" w:hAnsi="Arial" w:cs="Arial" w:eastAsia="Arial"/>
          <w:b/>
          <w:color w:val="000000"/>
          <w:sz w:val="22"/>
          <w:u w:val="none"/>
        </w:rPr>
        <w:t>Primarily focused on hedge fund recruiting but with a smaller list of high-profile PE clients on the buyout side.</w:t>
      </w:r>
    </w:p>
    <w:p>
      <w:pPr>
        <w:spacing w:line="480" w:lineRule="auto" w:before="0" w:after="0"/>
      </w:pPr>
      <w:r>
        <w:rPr>
          <w:rFonts w:ascii="Arial" w:hAnsi="Arial" w:cs="Arial" w:eastAsia="Arial"/>
          <w:b w:val="0"/>
          <w:color w:val="000000"/>
          <w:sz w:val="22"/>
          <w:u w:val="none"/>
        </w:rPr>
        <w:t>The strongest hedge fund headhunter on this list. For PE, DSP covers a smaller set of high-profile firms.</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First-year and second-year IB analysts. Strong preference for candidates with prior hedge fund or markets exposure.</w:t>
      </w:r>
    </w:p>
    <w:p>
      <w:pPr>
        <w:pStyle w:val="ListBullet"/>
        <w:spacing w:line="480" w:lineRule="auto" w:before="0" w:after="0"/>
      </w:pPr>
      <w:r>
        <w:rPr>
          <w:rFonts w:ascii="Arial" w:hAnsi="Arial" w:cs="Arial" w:eastAsia="Arial"/>
          <w:b/>
          <w:color w:val="000000"/>
          <w:sz w:val="22"/>
          <w:u w:val="none"/>
        </w:rPr>
        <w:t>Recruiting cadence:</w:t>
      </w:r>
      <w:r>
        <w:rPr>
          <w:rFonts w:ascii="Arial" w:hAnsi="Arial" w:cs="Arial" w:eastAsia="Arial"/>
          <w:b w:val="0"/>
          <w:color w:val="000000"/>
          <w:sz w:val="22"/>
          <w:u w:val="none"/>
        </w:rPr>
        <w:t xml:space="preserve"> Active during both the on-cycle PE window and the hedge fund recruiting calendar.</w:t>
      </w:r>
    </w:p>
    <w:p>
      <w:pPr>
        <w:pStyle w:val="ListBullet"/>
        <w:spacing w:line="480" w:lineRule="auto" w:before="0" w:after="0"/>
      </w:pPr>
      <w:r>
        <w:rPr>
          <w:rFonts w:ascii="Arial" w:hAnsi="Arial" w:cs="Arial" w:eastAsia="Arial"/>
          <w:b/>
          <w:color w:val="000000"/>
          <w:sz w:val="22"/>
          <w:u w:val="none"/>
        </w:rPr>
        <w:t>Who they place:</w:t>
      </w:r>
      <w:r>
        <w:rPr>
          <w:rFonts w:ascii="Arial" w:hAnsi="Arial" w:cs="Arial" w:eastAsia="Arial"/>
          <w:b w:val="0"/>
          <w:color w:val="000000"/>
          <w:sz w:val="22"/>
          <w:u w:val="none"/>
        </w:rPr>
        <w:t xml:space="preserve"> Major hedge funds (Citadel, Point72, Millennium, Two Sigma), plus a smaller list of PE buyout firms.</w:t>
      </w:r>
    </w:p>
    <w:p>
      <w:pPr>
        <w:spacing w:line="480" w:lineRule="auto" w:before="0" w:after="0"/>
      </w:pPr>
      <w:r>
        <w:rPr>
          <w:rFonts w:ascii="Arial" w:hAnsi="Arial" w:cs="Arial" w:eastAsia="Arial"/>
          <w:b/>
          <w:color w:val="000000"/>
          <w:sz w:val="22"/>
          <w:u w:val="none"/>
        </w:rPr>
        <w:t>Concrete takeaway:</w:t>
      </w:r>
      <w:r>
        <w:rPr>
          <w:rFonts w:ascii="Arial" w:hAnsi="Arial" w:cs="Arial" w:eastAsia="Arial"/>
          <w:b w:val="0"/>
          <w:color w:val="000000"/>
          <w:sz w:val="22"/>
          <w:u w:val="none"/>
        </w:rPr>
        <w:t xml:space="preserve"> Use DSP as your hedge fund headhunter and pair it with Henkel or CPI for the PE side.</w:t>
      </w:r>
    </w:p>
    <w:p>
      <w:pPr>
        <w:spacing w:line="480" w:lineRule="auto" w:before="0" w:after="0"/>
      </w:pPr>
      <w:r>
        <w:rPr>
          <w:rFonts w:ascii="Arial" w:hAnsi="Arial" w:cs="Arial" w:eastAsia="Arial"/>
          <w:b/>
          <w:color w:val="000000"/>
          <w:sz w:val="28"/>
          <w:u w:val="single"/>
        </w:rPr>
        <w:t xml:space="preserve">10. </w:t>
      </w:r>
      <w:hyperlink r:id="rId18">
        <w:r>
          <w:rPr>
            <w:rFonts w:ascii="Arial" w:hAnsi="Arial" w:cs="Arial" w:eastAsia="Arial"/>
            <w:sz w:val="28"/>
            <w:color w:val="0563C1"/>
            <w:u w:val="single"/>
            <w:b/>
          </w:rPr>
          <w:t xml:space="preserve">Gold Coast Search Partners</w:t>
        </w:r>
      </w:hyperlink>
    </w:p>
    <w:p>
      <w:pPr>
        <w:spacing w:line="480" w:lineRule="auto" w:before="0" w:after="0"/>
      </w:pPr>
      <w:r>
        <w:rPr>
          <w:rFonts w:ascii="Arial" w:hAnsi="Arial" w:cs="Arial" w:eastAsia="Arial"/>
          <w:b/>
          <w:color w:val="000000"/>
          <w:sz w:val="22"/>
          <w:u w:val="none"/>
        </w:rPr>
        <w:t>Spun out of CPI Partners and covers a similar client base with a particular focus on growth equity and operating-heavy PE.</w:t>
      </w:r>
    </w:p>
    <w:p>
      <w:pPr>
        <w:spacing w:line="480" w:lineRule="auto" w:before="0" w:after="0"/>
      </w:pPr>
      <w:r>
        <w:rPr>
          <w:rFonts w:ascii="Arial" w:hAnsi="Arial" w:cs="Arial" w:eastAsia="Arial"/>
          <w:b w:val="0"/>
          <w:color w:val="000000"/>
          <w:sz w:val="22"/>
          <w:u w:val="none"/>
        </w:rPr>
        <w:t>Operates with many of the same client relationships as CPI. The most-credible adjacent option if you don't make top-tier coverage at Henkel or CPI.</w:t>
      </w:r>
    </w:p>
    <w:p>
      <w:pPr>
        <w:pStyle w:val="ListBullet"/>
        <w:spacing w:line="480" w:lineRule="auto" w:before="0" w:after="0"/>
      </w:pPr>
      <w:r>
        <w:rPr>
          <w:rFonts w:ascii="Arial" w:hAnsi="Arial" w:cs="Arial" w:eastAsia="Arial"/>
          <w:b/>
          <w:color w:val="000000"/>
          <w:sz w:val="22"/>
          <w:u w:val="none"/>
        </w:rPr>
        <w:t>Eligibility:</w:t>
      </w:r>
      <w:r>
        <w:rPr>
          <w:rFonts w:ascii="Arial" w:hAnsi="Arial" w:cs="Arial" w:eastAsia="Arial"/>
          <w:b w:val="0"/>
          <w:color w:val="000000"/>
          <w:sz w:val="22"/>
          <w:u w:val="none"/>
        </w:rPr>
        <w:t xml:space="preserve"> First-year and second-year IB analysts at BB, EB, and top MM firms.</w:t>
      </w:r>
    </w:p>
    <w:p>
      <w:pPr>
        <w:pStyle w:val="ListBullet"/>
        <w:spacing w:line="480" w:lineRule="auto" w:before="0" w:after="0"/>
      </w:pPr>
      <w:r>
        <w:rPr>
          <w:rFonts w:ascii="Arial" w:hAnsi="Arial" w:cs="Arial" w:eastAsia="Arial"/>
          <w:b/>
          <w:color w:val="000000"/>
          <w:sz w:val="22"/>
          <w:u w:val="none"/>
        </w:rPr>
        <w:t>Recruiting cadence:</w:t>
      </w:r>
      <w:r>
        <w:rPr>
          <w:rFonts w:ascii="Arial" w:hAnsi="Arial" w:cs="Arial" w:eastAsia="Arial"/>
          <w:b w:val="0"/>
          <w:color w:val="000000"/>
          <w:sz w:val="22"/>
          <w:u w:val="none"/>
        </w:rPr>
        <w:t xml:space="preserve"> Active during the on-cycle window with some off-cycle outreach for growth equity.</w:t>
      </w:r>
    </w:p>
    <w:p>
      <w:pPr>
        <w:pStyle w:val="ListBullet"/>
        <w:spacing w:line="480" w:lineRule="auto" w:before="0" w:after="0"/>
      </w:pPr>
      <w:r>
        <w:rPr>
          <w:rFonts w:ascii="Arial" w:hAnsi="Arial" w:cs="Arial" w:eastAsia="Arial"/>
          <w:b/>
          <w:color w:val="000000"/>
          <w:sz w:val="22"/>
          <w:u w:val="none"/>
        </w:rPr>
        <w:t>Who they place:</w:t>
      </w:r>
      <w:r>
        <w:rPr>
          <w:rFonts w:ascii="Arial" w:hAnsi="Arial" w:cs="Arial" w:eastAsia="Arial"/>
          <w:b w:val="0"/>
          <w:color w:val="000000"/>
          <w:sz w:val="22"/>
          <w:u w:val="none"/>
        </w:rPr>
        <w:t xml:space="preserve"> Growth equity firms, operating-heavy PE, upper-middle-market firms.</w:t>
      </w:r>
    </w:p>
    <w:p>
      <w:pPr>
        <w:spacing w:line="480" w:lineRule="auto" w:before="0" w:after="0"/>
      </w:pPr>
      <w:r>
        <w:rPr>
          <w:rFonts w:ascii="Arial" w:hAnsi="Arial" w:cs="Arial" w:eastAsia="Arial"/>
          <w:b/>
          <w:color w:val="000000"/>
          <w:sz w:val="22"/>
          <w:u w:val="none"/>
        </w:rPr>
        <w:t>Concrete takeaway:</w:t>
      </w:r>
      <w:r>
        <w:rPr>
          <w:rFonts w:ascii="Arial" w:hAnsi="Arial" w:cs="Arial" w:eastAsia="Arial"/>
          <w:b w:val="0"/>
          <w:color w:val="000000"/>
          <w:sz w:val="22"/>
          <w:u w:val="none"/>
        </w:rPr>
        <w:t xml:space="preserve"> Gold Coast is the strongest "second-tier" coverage you can get.</w:t>
      </w:r>
    </w:p>
    <w:p>
      <w:pPr>
        <w:spacing w:line="480" w:lineRule="auto" w:before="0" w:after="0"/>
      </w:pPr>
      <w:r>
        <w:rPr>
          <w:rFonts w:ascii="Arial" w:hAnsi="Arial" w:cs="Arial" w:eastAsia="Arial"/>
          <w:b/>
          <w:color w:val="000000"/>
          <w:sz w:val="36"/>
          <w:u w:val="none"/>
        </w:rPr>
        <w:t>What to actually do this week</w:t>
      </w:r>
    </w:p>
    <w:p>
      <w:pPr>
        <w:spacing w:line="480" w:lineRule="auto" w:before="0" w:after="0"/>
      </w:pPr>
      <w:r>
        <w:rPr>
          <w:rFonts w:ascii="Arial" w:hAnsi="Arial" w:cs="Arial" w:eastAsia="Arial"/>
          <w:b w:val="0"/>
          <w:color w:val="000000"/>
          <w:sz w:val="22"/>
          <w:u w:val="none"/>
        </w:rPr>
        <w:t>If you're a first-year IB analyst targeting on-cycle PE recruiting, here's the priority order:</w:t>
      </w:r>
    </w:p>
    <w:p>
      <w:pPr>
        <w:pStyle w:val="ListNumber"/>
        <w:spacing w:line="480" w:lineRule="auto" w:before="0" w:after="0"/>
      </w:pPr>
      <w:r>
        <w:rPr>
          <w:rFonts w:ascii="Arial" w:hAnsi="Arial" w:cs="Arial" w:eastAsia="Arial"/>
          <w:b/>
          <w:color w:val="000000"/>
          <w:sz w:val="22"/>
          <w:u w:val="none"/>
        </w:rPr>
        <w:t>Get on Henkel Search Partners' radar within the next 30 days.</w:t>
      </w:r>
    </w:p>
    <w:p>
      <w:pPr>
        <w:pStyle w:val="ListNumber"/>
        <w:spacing w:line="480" w:lineRule="auto" w:before="0" w:after="0"/>
      </w:pPr>
      <w:r>
        <w:rPr>
          <w:rFonts w:ascii="Arial" w:hAnsi="Arial" w:cs="Arial" w:eastAsia="Arial"/>
          <w:b/>
          <w:color w:val="000000"/>
          <w:sz w:val="22"/>
          <w:u w:val="none"/>
        </w:rPr>
        <w:t>Build coverage relationships with CPI Partners and Amity Search Partners in parallel.</w:t>
      </w:r>
    </w:p>
    <w:p>
      <w:pPr>
        <w:pStyle w:val="ListNumber"/>
        <w:spacing w:line="480" w:lineRule="auto" w:before="0" w:after="0"/>
      </w:pPr>
      <w:r>
        <w:rPr>
          <w:rFonts w:ascii="Arial" w:hAnsi="Arial" w:cs="Arial" w:eastAsia="Arial"/>
          <w:b/>
          <w:color w:val="000000"/>
          <w:sz w:val="22"/>
          <w:u w:val="none"/>
        </w:rPr>
        <w:t>Add SG Partners or DSP to your list</w:t>
      </w:r>
      <w:r>
        <w:rPr>
          <w:rFonts w:ascii="Arial" w:hAnsi="Arial" w:cs="Arial" w:eastAsia="Arial"/>
          <w:b w:val="0"/>
          <w:color w:val="000000"/>
          <w:sz w:val="22"/>
          <w:u w:val="none"/>
        </w:rPr>
        <w:t xml:space="preserve"> if you're undecided between PE and hedge funds.</w:t>
      </w:r>
    </w:p>
    <w:p>
      <w:pPr>
        <w:pStyle w:val="ListNumber"/>
        <w:spacing w:line="480" w:lineRule="auto" w:before="0" w:after="0"/>
      </w:pPr>
      <w:r>
        <w:rPr>
          <w:rFonts w:ascii="Arial" w:hAnsi="Arial" w:cs="Arial" w:eastAsia="Arial"/>
          <w:b/>
          <w:color w:val="000000"/>
          <w:sz w:val="22"/>
          <w:u w:val="none"/>
        </w:rPr>
        <w:t>Add Glocap to your list</w:t>
      </w:r>
      <w:r>
        <w:rPr>
          <w:rFonts w:ascii="Arial" w:hAnsi="Arial" w:cs="Arial" w:eastAsia="Arial"/>
          <w:b w:val="0"/>
          <w:color w:val="000000"/>
          <w:sz w:val="22"/>
          <w:u w:val="none"/>
        </w:rPr>
        <w:t xml:space="preserve"> if growth equity is on your target list.</w:t>
      </w:r>
    </w:p>
    <w:p>
      <w:pPr>
        <w:pStyle w:val="ListNumber"/>
        <w:spacing w:line="480" w:lineRule="auto" w:before="0" w:after="0"/>
      </w:pPr>
      <w:r>
        <w:rPr>
          <w:rFonts w:ascii="Arial" w:hAnsi="Arial" w:cs="Arial" w:eastAsia="Arial"/>
          <w:b/>
          <w:color w:val="000000"/>
          <w:sz w:val="22"/>
          <w:u w:val="none"/>
        </w:rPr>
        <w:t>Be ready when they call.</w:t>
      </w:r>
      <w:r>
        <w:rPr>
          <w:rFonts w:ascii="Arial" w:hAnsi="Arial" w:cs="Arial" w:eastAsia="Arial"/>
          <w:b w:val="0"/>
          <w:color w:val="000000"/>
          <w:sz w:val="22"/>
          <w:u w:val="none"/>
        </w:rPr>
        <w:t xml:space="preserve"> Have your resume, deal sheet, and 60-second pitch ready before the first coverage call.</w:t>
      </w:r>
    </w:p>
    <w:p>
      <w:pPr>
        <w:spacing w:line="480" w:lineRule="auto" w:before="0" w:after="0"/>
      </w:pPr>
      <w:r>
        <w:rPr>
          <w:rFonts w:ascii="Arial" w:hAnsi="Arial" w:cs="Arial" w:eastAsia="Arial"/>
          <w:b w:val="0"/>
          <w:color w:val="000000"/>
          <w:sz w:val="22"/>
          <w:u w:val="none"/>
        </w:rPr>
        <w:t>The IB analysts who land the strongest PE seats every cycle have the same pattern. They had relationships with three top-tier headhunters by summer of their first analyst year. They drilled modeling for six months before applications opened.</w:t>
      </w:r>
    </w:p>
    <w:p>
      <w:pPr>
        <w:spacing w:line="480" w:lineRule="auto" w:before="0" w:after="0"/>
      </w:pPr>
      <w:r>
        <w:rPr>
          <w:rFonts w:ascii="Arial" w:hAnsi="Arial" w:cs="Arial" w:eastAsia="Arial"/>
          <w:b/>
          <w:color w:val="000000"/>
          <w:sz w:val="22"/>
          <w:u w:val="none"/>
        </w:rPr>
        <w:t>The candidates who get cut almost always tried to compress this work into two weeks once on-cycle recruiting started.</w:t>
      </w:r>
    </w:p>
    <w:p>
      <w:pPr>
        <w:spacing w:line="480" w:lineRule="auto" w:before="0" w:after="0"/>
      </w:pPr>
      <w:r>
        <w:rPr>
          <w:rFonts w:ascii="Arial" w:hAnsi="Arial" w:cs="Arial" w:eastAsia="Arial"/>
          <w:b w:val="0"/>
          <w:color w:val="000000"/>
          <w:sz w:val="22"/>
          <w:u w:val="none"/>
        </w:rPr>
        <w:t>Start the relationships now. The headhunters are watching.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henkelsp.com/" TargetMode="External"/><Relationship Id="rId10" Type="http://schemas.openxmlformats.org/officeDocument/2006/relationships/hyperlink" Target="https://www.cpiny.com/" TargetMode="External"/><Relationship Id="rId11" Type="http://schemas.openxmlformats.org/officeDocument/2006/relationships/hyperlink" Target="https://www.amitysearchpartners.com/" TargetMode="External"/><Relationship Id="rId12" Type="http://schemas.openxmlformats.org/officeDocument/2006/relationships/hyperlink" Target="https://www.sgpartners.com/" TargetMode="External"/><Relationship Id="rId13" Type="http://schemas.openxmlformats.org/officeDocument/2006/relationships/hyperlink" Target="https://www.ratioadvisors.com/" TargetMode="External"/><Relationship Id="rId14" Type="http://schemas.openxmlformats.org/officeDocument/2006/relationships/hyperlink" Target="https://www.glocap.com/" TargetMode="External"/><Relationship Id="rId15" Type="http://schemas.openxmlformats.org/officeDocument/2006/relationships/hyperlink" Target="https://www.oxbridgegroup.com/" TargetMode="External"/><Relationship Id="rId16" Type="http://schemas.openxmlformats.org/officeDocument/2006/relationships/hyperlink" Target="https://www.bellcastpartners.com/" TargetMode="External"/><Relationship Id="rId17" Type="http://schemas.openxmlformats.org/officeDocument/2006/relationships/hyperlink" Target="https://www.dspsearch.com/" TargetMode="External"/><Relationship Id="rId18" Type="http://schemas.openxmlformats.org/officeDocument/2006/relationships/hyperlink" Target="https://www.goldcoastsearch.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