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Top Middle Market Investment Banks: 10 Firms for 2027</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ranks the 10 top middle market investment banks for 2027 recruiting, with 2025-2026 league data, hub cities, and honest comp math.</w:t>
      </w:r>
    </w:p>
    <w:p>
      <w:pPr>
        <w:spacing w:line="480" w:lineRule="auto" w:before="0" w:after="0"/>
      </w:pPr>
    </w:p>
    <w:p>
      <w:pPr>
        <w:spacing w:line="480" w:lineRule="auto" w:before="0" w:after="0"/>
      </w:pPr>
      <w:r>
        <w:rPr>
          <w:rFonts w:ascii="Arial" w:hAnsi="Arial"/>
          <w:b/>
          <w:color w:val="000000"/>
          <w:sz w:val="22"/>
          <w:u w:val="none"/>
        </w:rPr>
        <w:t>The busiest M&amp;A advisor on earth is not Goldman Sachs. Houlihan Lokey closed 458 deals in 2025 to Goldman's 441, and it did that from the middle market.</w:t>
      </w:r>
      <w:r>
        <w:rPr>
          <w:rFonts w:ascii="Arial" w:hAnsi="Arial"/>
          <w:b w:val="0"/>
          <w:color w:val="000000"/>
          <w:sz w:val="22"/>
          <w:u w:val="none"/>
        </w:rPr>
        <w:t xml:space="preserve"> Deals between roughly $50 million and $1 billion are where transaction volume actually lives, and the ten banks below built franchises, analyst programs, and partner-track careers on them.</w:t>
      </w:r>
    </w:p>
    <w:p>
      <w:pPr>
        <w:spacing w:line="480" w:lineRule="auto" w:before="0" w:after="0"/>
      </w:pPr>
    </w:p>
    <w:p>
      <w:pPr>
        <w:spacing w:line="480" w:lineRule="auto" w:before="0" w:after="0"/>
      </w:pPr>
      <w:r>
        <w:rPr>
          <w:rFonts w:ascii="Arial" w:hAnsi="Arial"/>
          <w:b w:val="0"/>
          <w:color w:val="000000"/>
          <w:sz w:val="22"/>
          <w:u w:val="none"/>
        </w:rPr>
        <w:t>As a former McKinsey consultant who runs WSG, I watch students treat middle market banks as backups and then discover, too late, that the MM analyst on three closed deals out-interviews the BB analyst on one stalled mega-deal. For 2027 recruiting, these ten deserve first-choice consideration, not fallback status.</w:t>
      </w:r>
    </w:p>
    <w:p>
      <w:pPr>
        <w:spacing w:line="480" w:lineRule="auto" w:before="0" w:after="0"/>
      </w:pPr>
    </w:p>
    <w:p>
      <w:pPr>
        <w:pStyle w:val="Heading2"/>
        <w:spacing w:line="480" w:lineRule="auto" w:before="0" w:after="0"/>
      </w:pPr>
      <w:r>
        <w:rPr>
          <w:rFonts w:ascii="Arial" w:hAnsi="Arial"/>
          <w:b/>
          <w:color w:val="000000"/>
          <w:sz w:val="36"/>
          <w:u w:val="none"/>
        </w:rPr>
        <w:t>What counts as a middle market investment bank?</w:t>
      </w:r>
    </w:p>
    <w:p>
      <w:pPr>
        <w:spacing w:line="480" w:lineRule="auto" w:before="0" w:after="0"/>
      </w:pPr>
      <w:r>
        <w:rPr>
          <w:rFonts w:ascii="Arial" w:hAnsi="Arial"/>
          <w:b w:val="0"/>
          <w:color w:val="000000"/>
          <w:sz w:val="22"/>
          <w:u w:val="none"/>
        </w:rPr>
        <w:t>A firm whose core business is advising companies worth roughly $50 million to $1 billion, usually on sales to private equity or strategic buyers. The label describes deal size, never quality: these firms run the same processes, models, and fee logic as bulge brackets, with leaner teams and faster closings.</w:t>
      </w:r>
    </w:p>
    <w:p>
      <w:pPr>
        <w:spacing w:line="480" w:lineRule="auto" w:before="0" w:after="0"/>
      </w:pPr>
    </w:p>
    <w:p>
      <w:pPr>
        <w:pStyle w:val="Heading2"/>
        <w:spacing w:line="480" w:lineRule="auto" w:before="0" w:after="0"/>
      </w:pPr>
      <w:r>
        <w:rPr>
          <w:rFonts w:ascii="Arial" w:hAnsi="Arial"/>
          <w:b/>
          <w:color w:val="000000"/>
          <w:sz w:val="36"/>
          <w:u w:val="none"/>
        </w:rPr>
        <w:t>Do middle market banks pay less than bulge brackets?</w:t>
      </w:r>
    </w:p>
    <w:p>
      <w:pPr>
        <w:spacing w:line="480" w:lineRule="auto" w:before="0" w:after="0"/>
      </w:pPr>
      <w:r>
        <w:rPr>
          <w:rFonts w:ascii="Arial" w:hAnsi="Arial"/>
          <w:b w:val="0"/>
          <w:color w:val="000000"/>
          <w:sz w:val="22"/>
          <w:u w:val="none"/>
        </w:rPr>
        <w:t>Slightly, and less than the folklore claims. Industry trackers put upper-MM analyst pay within about 15 percent of bulge bracket packages, with bonuses all cash [VERIFY: self-reported comp surveys]. Hours run gentler, commonly reported at 65 to 75 per week against 80-plus at BBs, which turns the per-hour gap roughly to zero.</w:t>
      </w:r>
    </w:p>
    <w:p>
      <w:pPr>
        <w:spacing w:line="480" w:lineRule="auto" w:before="0" w:after="0"/>
      </w:pPr>
    </w:p>
    <w:p>
      <w:pPr>
        <w:pStyle w:val="Heading2"/>
        <w:spacing w:line="480" w:lineRule="auto" w:before="0" w:after="0"/>
      </w:pPr>
      <w:r>
        <w:rPr>
          <w:rFonts w:ascii="Arial" w:hAnsi="Arial"/>
          <w:b/>
          <w:color w:val="000000"/>
          <w:sz w:val="36"/>
          <w:u w:val="none"/>
        </w:rPr>
        <w:t>How this list was built</w:t>
      </w:r>
    </w:p>
    <w:p>
      <w:pPr>
        <w:spacing w:line="480" w:lineRule="auto" w:before="0" w:after="0"/>
      </w:pPr>
      <w:r>
        <w:rPr>
          <w:rFonts w:ascii="Arial" w:hAnsi="Arial"/>
          <w:b w:val="0"/>
          <w:color w:val="000000"/>
          <w:sz w:val="22"/>
          <w:u w:val="none"/>
        </w:rPr>
        <w:t>Three filters, applied in order. Deal-count standing in 2025 and H1 2026 league tables, because volume is what trains analysts. A real undergrad program with named Summer Analyst intake, because a great firm with no door doesn't help a sophomore. And a franchise centered on the $50 million to $1 billion band, which is why you won't find Jefferies below despite its middle market roots. Ownership changes, IPOs, and acquisitions through August 2026 are reflected, and several of the firms here changed shape in the last eighteen months.</w:t>
      </w:r>
    </w:p>
    <w:p>
      <w:pPr>
        <w:spacing w:line="480" w:lineRule="auto" w:before="0" w:after="0"/>
      </w:pPr>
    </w:p>
    <w:p>
      <w:pPr>
        <w:pStyle w:val="Heading2"/>
        <w:spacing w:line="480" w:lineRule="auto" w:before="0" w:after="0"/>
      </w:pPr>
      <w:r>
        <w:rPr>
          <w:rFonts w:ascii="Arial" w:hAnsi="Arial"/>
          <w:b/>
          <w:color w:val="000000"/>
          <w:sz w:val="36"/>
          <w:u w:val="none"/>
        </w:rPr>
        <w:t>The 10 firms</w:t>
      </w:r>
    </w:p>
    <w:p>
      <w:pPr>
        <w:spacing w:line="480" w:lineRule="auto" w:before="0" w:after="0"/>
      </w:pPr>
      <w:r>
        <w:rPr>
          <w:rFonts w:ascii="Arial" w:hAnsi="Arial"/>
          <w:b/>
          <w:color w:val="000000"/>
          <w:sz w:val="22"/>
          <w:u w:val="none"/>
        </w:rPr>
        <w:t xml:space="preserve">1. </w:t>
      </w:r>
      <w:hyperlink r:id="rId9">
        <w:r>
          <w:rPr>
            <w:rFonts w:ascii="Arial" w:hAnsi="Arial"/>
            <w:b/>
            <w:sz w:val="22"/>
            <w:color w:val="0563C1"/>
            <w:u w:val="single"/>
          </w:rPr>
          <w:t xml:space="preserve">Houlihan Lokey</w:t>
        </w:r>
      </w:hyperlink>
    </w:p>
    <w:p>
      <w:pPr>
        <w:spacing w:line="480" w:lineRule="auto" w:before="0" w:after="0"/>
      </w:pPr>
    </w:p>
    <w:p>
      <w:pPr>
        <w:spacing w:line="480" w:lineRule="auto" w:before="0" w:after="0"/>
      </w:pPr>
      <w:r>
        <w:rPr>
          <w:rFonts w:ascii="Arial" w:hAnsi="Arial"/>
          <w:b/>
          <w:color w:val="000000"/>
          <w:sz w:val="22"/>
          <w:u w:val="none"/>
        </w:rPr>
        <w:t>Houlihan Lokey topped the global M&amp;A deal-count table for 2025 and repeated at #1 through H1 2026 with 152 deals.</w:t>
      </w:r>
    </w:p>
    <w:p>
      <w:pPr>
        <w:spacing w:line="480" w:lineRule="auto" w:before="0" w:after="0"/>
      </w:pPr>
    </w:p>
    <w:p>
      <w:pPr>
        <w:pStyle w:val="ListBullet"/>
        <w:spacing w:line="480" w:lineRule="auto" w:before="0" w:after="0"/>
      </w:pPr>
      <w:r>
        <w:rPr>
          <w:rFonts w:ascii="Arial" w:hAnsi="Arial"/>
          <w:b w:val="0"/>
          <w:color w:val="000000"/>
          <w:sz w:val="22"/>
          <w:u w:val="none"/>
        </w:rPr>
        <w:t>Website: hl.com/careers</w:t>
      </w:r>
    </w:p>
    <w:p>
      <w:pPr>
        <w:pStyle w:val="ListBullet"/>
        <w:spacing w:line="480" w:lineRule="auto" w:before="0" w:after="0"/>
      </w:pPr>
      <w:r>
        <w:rPr>
          <w:rFonts w:ascii="Arial" w:hAnsi="Arial"/>
          <w:b w:val="0"/>
          <w:color w:val="000000"/>
          <w:sz w:val="22"/>
          <w:u w:val="none"/>
        </w:rPr>
        <w:t>HQ and hubs: Los Angeles, with big analyst classes in New York, Chicago, Minneapolis, Dallas</w:t>
      </w:r>
    </w:p>
    <w:p>
      <w:pPr>
        <w:pStyle w:val="ListBullet"/>
        <w:spacing w:line="480" w:lineRule="auto" w:before="0" w:after="0"/>
      </w:pPr>
      <w:r>
        <w:rPr>
          <w:rFonts w:ascii="Arial" w:hAnsi="Arial"/>
          <w:b w:val="0"/>
          <w:color w:val="000000"/>
          <w:sz w:val="22"/>
          <w:u w:val="none"/>
        </w:rPr>
        <w:t>Franchise: MM M&amp;A across every sector, plus the restructuring practice our RX guide covers</w:t>
      </w:r>
    </w:p>
    <w:p>
      <w:pPr>
        <w:pStyle w:val="ListBullet"/>
        <w:spacing w:line="480" w:lineRule="auto" w:before="0" w:after="0"/>
      </w:pPr>
      <w:r>
        <w:rPr>
          <w:rFonts w:ascii="Arial" w:hAnsi="Arial"/>
          <w:b w:val="0"/>
          <w:color w:val="000000"/>
          <w:sz w:val="22"/>
          <w:u w:val="none"/>
        </w:rPr>
        <w:t>League data: 458 deals in 2025 per LSEG, first among all banks</w:t>
      </w:r>
    </w:p>
    <w:p>
      <w:pPr>
        <w:pStyle w:val="ListBullet"/>
        <w:spacing w:line="480" w:lineRule="auto" w:before="0" w:after="0"/>
      </w:pPr>
      <w:r>
        <w:rPr>
          <w:rFonts w:ascii="Arial" w:hAnsi="Arial"/>
          <w:b w:val="0"/>
          <w:color w:val="000000"/>
          <w:sz w:val="22"/>
          <w:u w:val="none"/>
        </w:rPr>
        <w:t>Entry: Summer Financial Analyst by group and office</w:t>
      </w:r>
    </w:p>
    <w:p>
      <w:pPr>
        <w:spacing w:line="480" w:lineRule="auto" w:before="0" w:after="0"/>
      </w:pPr>
    </w:p>
    <w:p>
      <w:pPr>
        <w:spacing w:line="480" w:lineRule="auto" w:before="0" w:after="0"/>
      </w:pPr>
      <w:r>
        <w:rPr>
          <w:rFonts w:ascii="Arial" w:hAnsi="Arial"/>
          <w:b w:val="0"/>
          <w:color w:val="000000"/>
          <w:sz w:val="22"/>
          <w:u w:val="none"/>
        </w:rPr>
        <w:t xml:space="preserve">The volume machine of the industry. </w:t>
      </w:r>
      <w:r>
        <w:rPr>
          <w:rFonts w:ascii="Arial" w:hAnsi="Arial"/>
          <w:b/>
          <w:color w:val="000000"/>
          <w:sz w:val="22"/>
          <w:u w:val="none"/>
        </w:rPr>
        <w:t>A Houlihan analyst sees more closed transactions in two years than most bulge bracket analysts see in four.</w:t>
      </w:r>
    </w:p>
    <w:p>
      <w:pPr>
        <w:spacing w:line="480" w:lineRule="auto" w:before="0" w:after="0"/>
      </w:pPr>
    </w:p>
    <w:p>
      <w:pPr>
        <w:spacing w:line="480" w:lineRule="auto" w:before="0" w:after="0"/>
      </w:pPr>
      <w:r>
        <w:rPr>
          <w:rFonts w:ascii="Arial" w:hAnsi="Arial"/>
          <w:b/>
          <w:color w:val="000000"/>
          <w:sz w:val="22"/>
          <w:u w:val="none"/>
        </w:rPr>
        <w:t xml:space="preserve">2. </w:t>
      </w:r>
      <w:hyperlink r:id="rId10">
        <w:r>
          <w:rPr>
            <w:rFonts w:ascii="Arial" w:hAnsi="Arial"/>
            <w:b/>
            <w:sz w:val="22"/>
            <w:color w:val="0563C1"/>
            <w:u w:val="single"/>
          </w:rPr>
          <w:t xml:space="preserve">William Blair</w:t>
        </w:r>
      </w:hyperlink>
    </w:p>
    <w:p>
      <w:pPr>
        <w:spacing w:line="480" w:lineRule="auto" w:before="0" w:after="0"/>
      </w:pPr>
    </w:p>
    <w:p>
      <w:pPr>
        <w:spacing w:line="480" w:lineRule="auto" w:before="0" w:after="0"/>
      </w:pPr>
      <w:r>
        <w:rPr>
          <w:rFonts w:ascii="Arial" w:hAnsi="Arial"/>
          <w:b/>
          <w:color w:val="000000"/>
          <w:sz w:val="22"/>
          <w:u w:val="none"/>
        </w:rPr>
        <w:t>William Blair has closed 925+ M&amp;A deals worth roughly $583 billion since mid-2021, almost all of them sponsor-driven sell-sides.</w:t>
      </w:r>
    </w:p>
    <w:p>
      <w:pPr>
        <w:spacing w:line="480" w:lineRule="auto" w:before="0" w:after="0"/>
      </w:pPr>
    </w:p>
    <w:p>
      <w:pPr>
        <w:pStyle w:val="ListBullet"/>
        <w:spacing w:line="480" w:lineRule="auto" w:before="0" w:after="0"/>
      </w:pPr>
      <w:r>
        <w:rPr>
          <w:rFonts w:ascii="Arial" w:hAnsi="Arial"/>
          <w:b w:val="0"/>
          <w:color w:val="000000"/>
          <w:sz w:val="22"/>
          <w:u w:val="none"/>
        </w:rPr>
        <w:t>Website: williamblair.com/careers</w:t>
      </w:r>
    </w:p>
    <w:p>
      <w:pPr>
        <w:pStyle w:val="ListBullet"/>
        <w:spacing w:line="480" w:lineRule="auto" w:before="0" w:after="0"/>
      </w:pPr>
      <w:r>
        <w:rPr>
          <w:rFonts w:ascii="Arial" w:hAnsi="Arial"/>
          <w:b w:val="0"/>
          <w:color w:val="000000"/>
          <w:sz w:val="22"/>
          <w:u w:val="none"/>
        </w:rPr>
        <w:t>HQ: Chicago, employee-owned for 90+ years</w:t>
      </w:r>
    </w:p>
    <w:p>
      <w:pPr>
        <w:pStyle w:val="ListBullet"/>
        <w:spacing w:line="480" w:lineRule="auto" w:before="0" w:after="0"/>
      </w:pPr>
      <w:r>
        <w:rPr>
          <w:rFonts w:ascii="Arial" w:hAnsi="Arial"/>
          <w:b w:val="0"/>
          <w:color w:val="000000"/>
          <w:sz w:val="22"/>
          <w:u w:val="none"/>
        </w:rPr>
        <w:t>Franchise: tech-enabled services, healthcare, industrial growth sell-sides</w:t>
      </w:r>
    </w:p>
    <w:p>
      <w:pPr>
        <w:pStyle w:val="ListBullet"/>
        <w:spacing w:line="480" w:lineRule="auto" w:before="0" w:after="0"/>
      </w:pPr>
      <w:r>
        <w:rPr>
          <w:rFonts w:ascii="Arial" w:hAnsi="Arial"/>
          <w:b w:val="0"/>
          <w:color w:val="000000"/>
          <w:sz w:val="22"/>
          <w:u w:val="none"/>
        </w:rPr>
        <w:t>Fresh fact: acquired Inner Circle Sports in 2026 to build a sports M&amp;A practice [VERIFY: deal close]</w:t>
      </w:r>
    </w:p>
    <w:p>
      <w:pPr>
        <w:pStyle w:val="ListBullet"/>
        <w:spacing w:line="480" w:lineRule="auto" w:before="0" w:after="0"/>
      </w:pPr>
      <w:r>
        <w:rPr>
          <w:rFonts w:ascii="Arial" w:hAnsi="Arial"/>
          <w:b w:val="0"/>
          <w:color w:val="000000"/>
          <w:sz w:val="22"/>
          <w:u w:val="none"/>
        </w:rPr>
        <w:t>Entry: Investment Banking Summer Analyst, Chicago-heavy</w:t>
      </w:r>
    </w:p>
    <w:p>
      <w:pPr>
        <w:spacing w:line="480" w:lineRule="auto" w:before="0" w:after="0"/>
      </w:pPr>
    </w:p>
    <w:p>
      <w:pPr>
        <w:spacing w:line="480" w:lineRule="auto" w:before="0" w:after="0"/>
      </w:pPr>
      <w:r>
        <w:rPr>
          <w:rFonts w:ascii="Arial" w:hAnsi="Arial"/>
          <w:b w:val="0"/>
          <w:color w:val="000000"/>
          <w:sz w:val="22"/>
          <w:u w:val="none"/>
        </w:rPr>
        <w:t>Blair's sell-side machine is the purest reps-per-analyst play in the upper middle market.</w:t>
      </w:r>
    </w:p>
    <w:p>
      <w:pPr>
        <w:spacing w:line="480" w:lineRule="auto" w:before="0" w:after="0"/>
      </w:pPr>
    </w:p>
    <w:p>
      <w:pPr>
        <w:spacing w:line="480" w:lineRule="auto" w:before="0" w:after="0"/>
      </w:pPr>
      <w:r>
        <w:rPr>
          <w:rFonts w:ascii="Arial" w:hAnsi="Arial"/>
          <w:b/>
          <w:color w:val="000000"/>
          <w:sz w:val="22"/>
          <w:u w:val="none"/>
        </w:rPr>
        <w:t xml:space="preserve">3. </w:t>
      </w:r>
      <w:hyperlink r:id="rId11">
        <w:r>
          <w:rPr>
            <w:rFonts w:ascii="Arial" w:hAnsi="Arial"/>
            <w:b/>
            <w:sz w:val="22"/>
            <w:color w:val="0563C1"/>
            <w:u w:val="single"/>
          </w:rPr>
          <w:t xml:space="preserve">Baird</w:t>
        </w:r>
      </w:hyperlink>
    </w:p>
    <w:p>
      <w:pPr>
        <w:spacing w:line="480" w:lineRule="auto" w:before="0" w:after="0"/>
      </w:pPr>
    </w:p>
    <w:p>
      <w:pPr>
        <w:spacing w:line="480" w:lineRule="auto" w:before="0" w:after="0"/>
      </w:pPr>
      <w:r>
        <w:rPr>
          <w:rFonts w:ascii="Arial" w:hAnsi="Arial"/>
          <w:b/>
          <w:color w:val="000000"/>
          <w:sz w:val="22"/>
          <w:u w:val="none"/>
        </w:rPr>
        <w:t>Baird led US middle market private equity sell-side activity in the first half of 2026, per Mergermarket.</w:t>
      </w:r>
    </w:p>
    <w:p>
      <w:pPr>
        <w:spacing w:line="480" w:lineRule="auto" w:before="0" w:after="0"/>
      </w:pPr>
    </w:p>
    <w:p>
      <w:pPr>
        <w:pStyle w:val="ListBullet"/>
        <w:spacing w:line="480" w:lineRule="auto" w:before="0" w:after="0"/>
      </w:pPr>
      <w:r>
        <w:rPr>
          <w:rFonts w:ascii="Arial" w:hAnsi="Arial"/>
          <w:b w:val="0"/>
          <w:color w:val="000000"/>
          <w:sz w:val="22"/>
          <w:u w:val="none"/>
        </w:rPr>
        <w:t>Website: bairdcareers.com</w:t>
      </w:r>
    </w:p>
    <w:p>
      <w:pPr>
        <w:pStyle w:val="ListBullet"/>
        <w:spacing w:line="480" w:lineRule="auto" w:before="0" w:after="0"/>
      </w:pPr>
      <w:r>
        <w:rPr>
          <w:rFonts w:ascii="Arial" w:hAnsi="Arial"/>
          <w:b w:val="0"/>
          <w:color w:val="000000"/>
          <w:sz w:val="22"/>
          <w:u w:val="none"/>
        </w:rPr>
        <w:t>HQ: Milwaukee, employee-owned, with IB seats in Chicago, Charlotte, and New York</w:t>
      </w:r>
    </w:p>
    <w:p>
      <w:pPr>
        <w:pStyle w:val="ListBullet"/>
        <w:spacing w:line="480" w:lineRule="auto" w:before="0" w:after="0"/>
      </w:pPr>
      <w:r>
        <w:rPr>
          <w:rFonts w:ascii="Arial" w:hAnsi="Arial"/>
          <w:b w:val="0"/>
          <w:color w:val="000000"/>
          <w:sz w:val="22"/>
          <w:u w:val="none"/>
        </w:rPr>
        <w:t>Franchise: industrial, consumer, and healthcare MM M&amp;A plus 700+ stock research coverage</w:t>
      </w:r>
    </w:p>
    <w:p>
      <w:pPr>
        <w:pStyle w:val="ListBullet"/>
        <w:spacing w:line="480" w:lineRule="auto" w:before="0" w:after="0"/>
      </w:pPr>
      <w:r>
        <w:rPr>
          <w:rFonts w:ascii="Arial" w:hAnsi="Arial"/>
          <w:b w:val="0"/>
          <w:color w:val="000000"/>
          <w:sz w:val="22"/>
          <w:u w:val="none"/>
        </w:rPr>
        <w:t>Culture data point: 23 consecutive years on Fortune's 100 Best Companies list</w:t>
      </w:r>
    </w:p>
    <w:p>
      <w:pPr>
        <w:pStyle w:val="ListBullet"/>
        <w:spacing w:line="480" w:lineRule="auto" w:before="0" w:after="0"/>
      </w:pPr>
      <w:r>
        <w:rPr>
          <w:rFonts w:ascii="Arial" w:hAnsi="Arial"/>
          <w:b w:val="0"/>
          <w:color w:val="000000"/>
          <w:sz w:val="22"/>
          <w:u w:val="none"/>
        </w:rPr>
        <w:t>Entry: Global Investment Banking Summer Analyst program</w:t>
      </w:r>
    </w:p>
    <w:p>
      <w:pPr>
        <w:spacing w:line="480" w:lineRule="auto" w:before="0" w:after="0"/>
      </w:pPr>
    </w:p>
    <w:p>
      <w:pPr>
        <w:spacing w:line="480" w:lineRule="auto" w:before="0" w:after="0"/>
      </w:pPr>
      <w:r>
        <w:rPr>
          <w:rFonts w:ascii="Arial" w:hAnsi="Arial"/>
          <w:b w:val="0"/>
          <w:color w:val="000000"/>
          <w:sz w:val="22"/>
          <w:u w:val="none"/>
        </w:rPr>
        <w:t>The employee-ownership model shows up as low turnover and analysts who stay past their two years on purpose.</w:t>
      </w:r>
    </w:p>
    <w:p>
      <w:pPr>
        <w:spacing w:line="480" w:lineRule="auto" w:before="0" w:after="0"/>
      </w:pPr>
    </w:p>
    <w:p>
      <w:pPr>
        <w:spacing w:line="480" w:lineRule="auto" w:before="0" w:after="0"/>
      </w:pPr>
      <w:r>
        <w:rPr>
          <w:rFonts w:ascii="Arial" w:hAnsi="Arial"/>
          <w:b/>
          <w:color w:val="000000"/>
          <w:sz w:val="22"/>
          <w:u w:val="none"/>
        </w:rPr>
        <w:t xml:space="preserve">4. </w:t>
      </w:r>
      <w:hyperlink r:id="rId12">
        <w:r>
          <w:rPr>
            <w:rFonts w:ascii="Arial" w:hAnsi="Arial"/>
            <w:b/>
            <w:sz w:val="22"/>
            <w:color w:val="0563C1"/>
            <w:u w:val="single"/>
          </w:rPr>
          <w:t xml:space="preserve">Piper Sandler</w:t>
        </w:r>
      </w:hyperlink>
    </w:p>
    <w:p>
      <w:pPr>
        <w:spacing w:line="480" w:lineRule="auto" w:before="0" w:after="0"/>
      </w:pPr>
    </w:p>
    <w:p>
      <w:pPr>
        <w:spacing w:line="480" w:lineRule="auto" w:before="0" w:after="0"/>
      </w:pPr>
      <w:r>
        <w:rPr>
          <w:rFonts w:ascii="Arial" w:hAnsi="Arial"/>
          <w:b/>
          <w:color w:val="000000"/>
          <w:sz w:val="22"/>
          <w:u w:val="none"/>
        </w:rPr>
        <w:t>Piper Sandler just printed a record quarter, $274 million of advisory revenue and 83 closed deals in Q2 2026 alone.</w:t>
      </w:r>
    </w:p>
    <w:p>
      <w:pPr>
        <w:spacing w:line="480" w:lineRule="auto" w:before="0" w:after="0"/>
      </w:pPr>
    </w:p>
    <w:p>
      <w:pPr>
        <w:pStyle w:val="ListBullet"/>
        <w:spacing w:line="480" w:lineRule="auto" w:before="0" w:after="0"/>
      </w:pPr>
      <w:r>
        <w:rPr>
          <w:rFonts w:ascii="Arial" w:hAnsi="Arial"/>
          <w:b w:val="0"/>
          <w:color w:val="000000"/>
          <w:sz w:val="22"/>
          <w:u w:val="none"/>
        </w:rPr>
        <w:t>Website: pipersandler.com/careers</w:t>
      </w:r>
    </w:p>
    <w:p>
      <w:pPr>
        <w:pStyle w:val="ListBullet"/>
        <w:spacing w:line="480" w:lineRule="auto" w:before="0" w:after="0"/>
      </w:pPr>
      <w:r>
        <w:rPr>
          <w:rFonts w:ascii="Arial" w:hAnsi="Arial"/>
          <w:b w:val="0"/>
          <w:color w:val="000000"/>
          <w:sz w:val="22"/>
          <w:u w:val="none"/>
        </w:rPr>
        <w:t>HQ: Minneapolis, with 60+ offices and 193 investment banking MDs</w:t>
      </w:r>
    </w:p>
    <w:p>
      <w:pPr>
        <w:pStyle w:val="ListBullet"/>
        <w:spacing w:line="480" w:lineRule="auto" w:before="0" w:after="0"/>
      </w:pPr>
      <w:r>
        <w:rPr>
          <w:rFonts w:ascii="Arial" w:hAnsi="Arial"/>
          <w:b w:val="0"/>
          <w:color w:val="000000"/>
          <w:sz w:val="22"/>
          <w:u w:val="none"/>
        </w:rPr>
        <w:t>Franchise: healthcare, financial services (three-time FS M&amp;A firm of the year), energy</w:t>
      </w:r>
    </w:p>
    <w:p>
      <w:pPr>
        <w:pStyle w:val="ListBullet"/>
        <w:spacing w:line="480" w:lineRule="auto" w:before="0" w:after="0"/>
      </w:pPr>
      <w:r>
        <w:rPr>
          <w:rFonts w:ascii="Arial" w:hAnsi="Arial"/>
          <w:b w:val="0"/>
          <w:color w:val="000000"/>
          <w:sz w:val="22"/>
          <w:u w:val="none"/>
        </w:rPr>
        <w:t>Entry: Summer Analyst hiring by industry group and office</w:t>
      </w:r>
    </w:p>
    <w:p>
      <w:pPr>
        <w:spacing w:line="480" w:lineRule="auto" w:before="0" w:after="0"/>
      </w:pPr>
    </w:p>
    <w:p>
      <w:pPr>
        <w:spacing w:line="480" w:lineRule="auto" w:before="0" w:after="0"/>
      </w:pPr>
      <w:r>
        <w:rPr>
          <w:rFonts w:ascii="Arial" w:hAnsi="Arial"/>
          <w:b w:val="0"/>
          <w:color w:val="000000"/>
          <w:sz w:val="22"/>
          <w:u w:val="none"/>
        </w:rPr>
        <w:t>Piper converts sector depth into deal flow faster than any MM peer right now, and analysts feel it in staffings.</w:t>
      </w:r>
    </w:p>
    <w:p>
      <w:pPr>
        <w:spacing w:line="480" w:lineRule="auto" w:before="0" w:after="0"/>
      </w:pPr>
    </w:p>
    <w:p>
      <w:pPr>
        <w:spacing w:line="480" w:lineRule="auto" w:before="0" w:after="0"/>
      </w:pPr>
      <w:r>
        <w:rPr>
          <w:rFonts w:ascii="Arial" w:hAnsi="Arial"/>
          <w:b/>
          <w:color w:val="000000"/>
          <w:sz w:val="22"/>
          <w:u w:val="none"/>
        </w:rPr>
        <w:t xml:space="preserve">5. </w:t>
      </w:r>
      <w:hyperlink r:id="rId13">
        <w:r>
          <w:rPr>
            <w:rFonts w:ascii="Arial" w:hAnsi="Arial"/>
            <w:b/>
            <w:sz w:val="22"/>
            <w:color w:val="0563C1"/>
            <w:u w:val="single"/>
          </w:rPr>
          <w:t xml:space="preserve">Raymond James</w:t>
        </w:r>
      </w:hyperlink>
    </w:p>
    <w:p>
      <w:pPr>
        <w:spacing w:line="480" w:lineRule="auto" w:before="0" w:after="0"/>
      </w:pPr>
    </w:p>
    <w:p>
      <w:pPr>
        <w:spacing w:line="480" w:lineRule="auto" w:before="0" w:after="0"/>
      </w:pPr>
      <w:r>
        <w:rPr>
          <w:rFonts w:ascii="Arial" w:hAnsi="Arial"/>
          <w:b/>
          <w:color w:val="000000"/>
          <w:sz w:val="22"/>
          <w:u w:val="none"/>
        </w:rPr>
        <w:t>Raymond James wraps a full-service middle market bank inside a Fortune 500 platform, which steadies deal flow through cycles.</w:t>
      </w:r>
    </w:p>
    <w:p>
      <w:pPr>
        <w:spacing w:line="480" w:lineRule="auto" w:before="0" w:after="0"/>
      </w:pPr>
    </w:p>
    <w:p>
      <w:pPr>
        <w:pStyle w:val="ListBullet"/>
        <w:spacing w:line="480" w:lineRule="auto" w:before="0" w:after="0"/>
      </w:pPr>
      <w:r>
        <w:rPr>
          <w:rFonts w:ascii="Arial" w:hAnsi="Arial"/>
          <w:b w:val="0"/>
          <w:color w:val="000000"/>
          <w:sz w:val="22"/>
          <w:u w:val="none"/>
        </w:rPr>
        <w:t>Website: raymondjames.com/careers</w:t>
      </w:r>
    </w:p>
    <w:p>
      <w:pPr>
        <w:pStyle w:val="ListBullet"/>
        <w:spacing w:line="480" w:lineRule="auto" w:before="0" w:after="0"/>
      </w:pPr>
      <w:r>
        <w:rPr>
          <w:rFonts w:ascii="Arial" w:hAnsi="Arial"/>
          <w:b w:val="0"/>
          <w:color w:val="000000"/>
          <w:sz w:val="22"/>
          <w:u w:val="none"/>
        </w:rPr>
        <w:t>HQ: St. Petersburg, Florida, with IB centers in New York, Atlanta, Nashville, and Denver</w:t>
      </w:r>
    </w:p>
    <w:p>
      <w:pPr>
        <w:pStyle w:val="ListBullet"/>
        <w:spacing w:line="480" w:lineRule="auto" w:before="0" w:after="0"/>
      </w:pPr>
      <w:r>
        <w:rPr>
          <w:rFonts w:ascii="Arial" w:hAnsi="Arial"/>
          <w:b w:val="0"/>
          <w:color w:val="000000"/>
          <w:sz w:val="22"/>
          <w:u w:val="none"/>
        </w:rPr>
        <w:t>Franchise: technology, healthcare, consumer, and industrial MM M&amp;A plus capital raising</w:t>
      </w:r>
    </w:p>
    <w:p>
      <w:pPr>
        <w:pStyle w:val="ListBullet"/>
        <w:spacing w:line="480" w:lineRule="auto" w:before="0" w:after="0"/>
      </w:pPr>
      <w:r>
        <w:rPr>
          <w:rFonts w:ascii="Arial" w:hAnsi="Arial"/>
          <w:b w:val="0"/>
          <w:color w:val="000000"/>
          <w:sz w:val="22"/>
          <w:u w:val="none"/>
        </w:rPr>
        <w:t>Entry: Investment Banking Summer Analyst across hub cities</w:t>
      </w:r>
    </w:p>
    <w:p>
      <w:pPr>
        <w:spacing w:line="480" w:lineRule="auto" w:before="0" w:after="0"/>
      </w:pPr>
    </w:p>
    <w:p>
      <w:pPr>
        <w:spacing w:line="480" w:lineRule="auto" w:before="0" w:after="0"/>
      </w:pPr>
      <w:r>
        <w:rPr>
          <w:rFonts w:ascii="Arial" w:hAnsi="Arial"/>
          <w:b w:val="0"/>
          <w:color w:val="000000"/>
          <w:sz w:val="22"/>
          <w:u w:val="none"/>
        </w:rPr>
        <w:t>The southern hub cities are a quiet arbitrage: real M&amp;A reps with dramatically cheaper rent than Manhattan.</w:t>
      </w:r>
    </w:p>
    <w:p>
      <w:pPr>
        <w:spacing w:line="480" w:lineRule="auto" w:before="0" w:after="0"/>
      </w:pPr>
    </w:p>
    <w:p>
      <w:pPr>
        <w:spacing w:line="480" w:lineRule="auto" w:before="0" w:after="0"/>
      </w:pPr>
      <w:r>
        <w:rPr>
          <w:rFonts w:ascii="Arial" w:hAnsi="Arial"/>
          <w:b/>
          <w:color w:val="000000"/>
          <w:sz w:val="22"/>
          <w:u w:val="none"/>
        </w:rPr>
        <w:t xml:space="preserve">6. </w:t>
      </w:r>
      <w:hyperlink r:id="rId14">
        <w:r>
          <w:rPr>
            <w:rFonts w:ascii="Arial" w:hAnsi="Arial"/>
            <w:b/>
            <w:sz w:val="22"/>
            <w:color w:val="0563C1"/>
            <w:u w:val="single"/>
          </w:rPr>
          <w:t xml:space="preserve">Harris Williams</w:t>
        </w:r>
      </w:hyperlink>
    </w:p>
    <w:p>
      <w:pPr>
        <w:spacing w:line="480" w:lineRule="auto" w:before="0" w:after="0"/>
      </w:pPr>
    </w:p>
    <w:p>
      <w:pPr>
        <w:spacing w:line="480" w:lineRule="auto" w:before="0" w:after="0"/>
      </w:pPr>
      <w:r>
        <w:rPr>
          <w:rFonts w:ascii="Arial" w:hAnsi="Arial"/>
          <w:b/>
          <w:color w:val="000000"/>
          <w:sz w:val="22"/>
          <w:u w:val="none"/>
        </w:rPr>
        <w:t>Harris Williams does one thing, private equity sell-sides, and does it with the tightest focus in the industry.</w:t>
      </w:r>
    </w:p>
    <w:p>
      <w:pPr>
        <w:spacing w:line="480" w:lineRule="auto" w:before="0" w:after="0"/>
      </w:pPr>
    </w:p>
    <w:p>
      <w:pPr>
        <w:pStyle w:val="ListBullet"/>
        <w:spacing w:line="480" w:lineRule="auto" w:before="0" w:after="0"/>
      </w:pPr>
      <w:r>
        <w:rPr>
          <w:rFonts w:ascii="Arial" w:hAnsi="Arial"/>
          <w:b w:val="0"/>
          <w:color w:val="000000"/>
          <w:sz w:val="22"/>
          <w:u w:val="none"/>
        </w:rPr>
        <w:t>Website: harriswilliams.com/careers</w:t>
      </w:r>
    </w:p>
    <w:p>
      <w:pPr>
        <w:pStyle w:val="ListBullet"/>
        <w:spacing w:line="480" w:lineRule="auto" w:before="0" w:after="0"/>
      </w:pPr>
      <w:r>
        <w:rPr>
          <w:rFonts w:ascii="Arial" w:hAnsi="Arial"/>
          <w:b w:val="0"/>
          <w:color w:val="000000"/>
          <w:sz w:val="22"/>
          <w:u w:val="none"/>
        </w:rPr>
        <w:t>HQ: Richmond, Virginia, owned by PNC since 2005, with offices from Boston to Frankfurt</w:t>
      </w:r>
    </w:p>
    <w:p>
      <w:pPr>
        <w:pStyle w:val="ListBullet"/>
        <w:spacing w:line="480" w:lineRule="auto" w:before="0" w:after="0"/>
      </w:pPr>
      <w:r>
        <w:rPr>
          <w:rFonts w:ascii="Arial" w:hAnsi="Arial"/>
          <w:b w:val="0"/>
          <w:color w:val="000000"/>
          <w:sz w:val="22"/>
          <w:u w:val="none"/>
        </w:rPr>
        <w:t>Franchise: pure-play M&amp;A advisory for sponsor-backed companies, no capital markets distractions</w:t>
      </w:r>
    </w:p>
    <w:p>
      <w:pPr>
        <w:pStyle w:val="ListBullet"/>
        <w:spacing w:line="480" w:lineRule="auto" w:before="0" w:after="0"/>
      </w:pPr>
      <w:r>
        <w:rPr>
          <w:rFonts w:ascii="Arial" w:hAnsi="Arial"/>
          <w:b w:val="0"/>
          <w:color w:val="000000"/>
          <w:sz w:val="22"/>
          <w:u w:val="none"/>
        </w:rPr>
        <w:t>Entry: analyst classes in Richmond and regional offices</w:t>
      </w:r>
    </w:p>
    <w:p>
      <w:pPr>
        <w:spacing w:line="480" w:lineRule="auto" w:before="0" w:after="0"/>
      </w:pPr>
    </w:p>
    <w:p>
      <w:pPr>
        <w:spacing w:line="480" w:lineRule="auto" w:before="0" w:after="0"/>
      </w:pPr>
      <w:r>
        <w:rPr>
          <w:rFonts w:ascii="Arial" w:hAnsi="Arial"/>
          <w:b w:val="0"/>
          <w:color w:val="000000"/>
          <w:sz w:val="22"/>
          <w:u w:val="none"/>
        </w:rPr>
        <w:t>Every staffing is a live sale process. For learning how deals actually close, focus beats breadth.</w:t>
      </w:r>
    </w:p>
    <w:p>
      <w:pPr>
        <w:spacing w:line="480" w:lineRule="auto" w:before="0" w:after="0"/>
      </w:pPr>
    </w:p>
    <w:p>
      <w:pPr>
        <w:spacing w:line="480" w:lineRule="auto" w:before="0" w:after="0"/>
      </w:pPr>
      <w:r>
        <w:rPr>
          <w:rFonts w:ascii="Arial" w:hAnsi="Arial"/>
          <w:b/>
          <w:color w:val="000000"/>
          <w:sz w:val="22"/>
          <w:u w:val="none"/>
        </w:rPr>
        <w:t xml:space="preserve">7. </w:t>
      </w:r>
      <w:hyperlink r:id="rId15">
        <w:r>
          <w:rPr>
            <w:rFonts w:ascii="Arial" w:hAnsi="Arial"/>
            <w:b/>
            <w:sz w:val="22"/>
            <w:color w:val="0563C1"/>
            <w:u w:val="single"/>
          </w:rPr>
          <w:t xml:space="preserve">Lincoln International</w:t>
        </w:r>
      </w:hyperlink>
    </w:p>
    <w:p>
      <w:pPr>
        <w:spacing w:line="480" w:lineRule="auto" w:before="0" w:after="0"/>
      </w:pPr>
    </w:p>
    <w:p>
      <w:pPr>
        <w:spacing w:line="480" w:lineRule="auto" w:before="0" w:after="0"/>
      </w:pPr>
      <w:r>
        <w:rPr>
          <w:rFonts w:ascii="Arial" w:hAnsi="Arial"/>
          <w:b/>
          <w:color w:val="000000"/>
          <w:sz w:val="22"/>
          <w:u w:val="none"/>
        </w:rPr>
        <w:t>Lincoln International closed 430+ deals in 2025, went public on the NYSE in 2026, and grew Q2 revenue 51 percent, the fastest trajectory in the middle market.</w:t>
      </w:r>
    </w:p>
    <w:p>
      <w:pPr>
        <w:spacing w:line="480" w:lineRule="auto" w:before="0" w:after="0"/>
      </w:pPr>
    </w:p>
    <w:p>
      <w:pPr>
        <w:pStyle w:val="ListBullet"/>
        <w:spacing w:line="480" w:lineRule="auto" w:before="0" w:after="0"/>
      </w:pPr>
      <w:r>
        <w:rPr>
          <w:rFonts w:ascii="Arial" w:hAnsi="Arial"/>
          <w:b w:val="0"/>
          <w:color w:val="000000"/>
          <w:sz w:val="22"/>
          <w:u w:val="none"/>
        </w:rPr>
        <w:t>Website: lincolninternational.com/careers</w:t>
      </w:r>
    </w:p>
    <w:p>
      <w:pPr>
        <w:pStyle w:val="ListBullet"/>
        <w:spacing w:line="480" w:lineRule="auto" w:before="0" w:after="0"/>
      </w:pPr>
      <w:r>
        <w:rPr>
          <w:rFonts w:ascii="Arial" w:hAnsi="Arial"/>
          <w:b w:val="0"/>
          <w:color w:val="000000"/>
          <w:sz w:val="22"/>
          <w:u w:val="none"/>
        </w:rPr>
        <w:t>HQ: Chicago, roughly 1,400 professionals globally, NYSE ticker LCLN</w:t>
      </w:r>
    </w:p>
    <w:p>
      <w:pPr>
        <w:pStyle w:val="ListBullet"/>
        <w:spacing w:line="480" w:lineRule="auto" w:before="0" w:after="0"/>
      </w:pPr>
      <w:r>
        <w:rPr>
          <w:rFonts w:ascii="Arial" w:hAnsi="Arial"/>
          <w:b w:val="0"/>
          <w:color w:val="000000"/>
          <w:sz w:val="22"/>
          <w:u w:val="none"/>
        </w:rPr>
        <w:t>Franchise: sponsor sell-sides plus valuations and capital advisory</w:t>
      </w:r>
    </w:p>
    <w:p>
      <w:pPr>
        <w:pStyle w:val="ListBullet"/>
        <w:spacing w:line="480" w:lineRule="auto" w:before="0" w:after="0"/>
      </w:pPr>
      <w:r>
        <w:rPr>
          <w:rFonts w:ascii="Arial" w:hAnsi="Arial"/>
          <w:b w:val="0"/>
          <w:color w:val="000000"/>
          <w:sz w:val="22"/>
          <w:u w:val="none"/>
        </w:rPr>
        <w:t>Verified credit: sole advisor on the $10 billion sale of Filtration Group to Parker-Hannifin [VERIFY: closing status]</w:t>
      </w:r>
    </w:p>
    <w:p>
      <w:pPr>
        <w:pStyle w:val="ListBullet"/>
        <w:spacing w:line="480" w:lineRule="auto" w:before="0" w:after="0"/>
      </w:pPr>
      <w:r>
        <w:rPr>
          <w:rFonts w:ascii="Arial" w:hAnsi="Arial"/>
          <w:b w:val="0"/>
          <w:color w:val="000000"/>
          <w:sz w:val="22"/>
          <w:u w:val="none"/>
        </w:rPr>
        <w:t>Entry: analyst program marketed as an apprenticeship with a stated path to partner</w:t>
      </w:r>
    </w:p>
    <w:p>
      <w:pPr>
        <w:spacing w:line="480" w:lineRule="auto" w:before="0" w:after="0"/>
      </w:pPr>
    </w:p>
    <w:p>
      <w:pPr>
        <w:spacing w:line="480" w:lineRule="auto" w:before="0" w:after="0"/>
      </w:pPr>
      <w:r>
        <w:rPr>
          <w:rFonts w:ascii="Arial" w:hAnsi="Arial"/>
          <w:b w:val="0"/>
          <w:color w:val="000000"/>
          <w:sz w:val="22"/>
          <w:u w:val="none"/>
        </w:rPr>
        <w:t>The IPO puts growth capital behind an already-steep curve. Momentum matters when you're picking a two-year training ground.</w:t>
      </w:r>
    </w:p>
    <w:p>
      <w:pPr>
        <w:spacing w:line="480" w:lineRule="auto" w:before="0" w:after="0"/>
      </w:pPr>
    </w:p>
    <w:p>
      <w:pPr>
        <w:spacing w:line="480" w:lineRule="auto" w:before="0" w:after="0"/>
      </w:pPr>
      <w:r>
        <w:rPr>
          <w:rFonts w:ascii="Arial" w:hAnsi="Arial"/>
          <w:b/>
          <w:color w:val="000000"/>
          <w:sz w:val="22"/>
          <w:u w:val="none"/>
        </w:rPr>
        <w:t xml:space="preserve">8. </w:t>
      </w:r>
      <w:hyperlink r:id="rId16">
        <w:r>
          <w:rPr>
            <w:rFonts w:ascii="Arial" w:hAnsi="Arial"/>
            <w:b/>
            <w:sz w:val="22"/>
            <w:color w:val="0563C1"/>
            <w:u w:val="single"/>
          </w:rPr>
          <w:t xml:space="preserve">Stifel</w:t>
        </w:r>
      </w:hyperlink>
    </w:p>
    <w:p>
      <w:pPr>
        <w:spacing w:line="480" w:lineRule="auto" w:before="0" w:after="0"/>
      </w:pPr>
    </w:p>
    <w:p>
      <w:pPr>
        <w:spacing w:line="480" w:lineRule="auto" w:before="0" w:after="0"/>
      </w:pPr>
      <w:r>
        <w:rPr>
          <w:rFonts w:ascii="Arial" w:hAnsi="Arial"/>
          <w:b/>
          <w:color w:val="000000"/>
          <w:sz w:val="22"/>
          <w:u w:val="none"/>
        </w:rPr>
        <w:t>Stifel pairs a broad MM platform with KBW, the standard-setter in financial services M&amp;A.</w:t>
      </w:r>
    </w:p>
    <w:p>
      <w:pPr>
        <w:spacing w:line="480" w:lineRule="auto" w:before="0" w:after="0"/>
      </w:pPr>
    </w:p>
    <w:p>
      <w:pPr>
        <w:pStyle w:val="ListBullet"/>
        <w:spacing w:line="480" w:lineRule="auto" w:before="0" w:after="0"/>
      </w:pPr>
      <w:r>
        <w:rPr>
          <w:rFonts w:ascii="Arial" w:hAnsi="Arial"/>
          <w:b w:val="0"/>
          <w:color w:val="000000"/>
          <w:sz w:val="22"/>
          <w:u w:val="none"/>
        </w:rPr>
        <w:t>Website: stifel.com/careers</w:t>
      </w:r>
    </w:p>
    <w:p>
      <w:pPr>
        <w:pStyle w:val="ListBullet"/>
        <w:spacing w:line="480" w:lineRule="auto" w:before="0" w:after="0"/>
      </w:pPr>
      <w:r>
        <w:rPr>
          <w:rFonts w:ascii="Arial" w:hAnsi="Arial"/>
          <w:b w:val="0"/>
          <w:color w:val="000000"/>
          <w:sz w:val="22"/>
          <w:u w:val="none"/>
        </w:rPr>
        <w:t>HQ: St. Louis, with 600+ investment bankers and a major Baltimore office</w:t>
      </w:r>
    </w:p>
    <w:p>
      <w:pPr>
        <w:pStyle w:val="ListBullet"/>
        <w:spacing w:line="480" w:lineRule="auto" w:before="0" w:after="0"/>
      </w:pPr>
      <w:r>
        <w:rPr>
          <w:rFonts w:ascii="Arial" w:hAnsi="Arial"/>
          <w:b w:val="0"/>
          <w:color w:val="000000"/>
          <w:sz w:val="22"/>
          <w:u w:val="none"/>
        </w:rPr>
        <w:t>Franchise: diversified MM M&amp;A plus KBW's dominant bank-and-insurance advisory practice</w:t>
      </w:r>
    </w:p>
    <w:p>
      <w:pPr>
        <w:pStyle w:val="ListBullet"/>
        <w:spacing w:line="480" w:lineRule="auto" w:before="0" w:after="0"/>
      </w:pPr>
      <w:r>
        <w:rPr>
          <w:rFonts w:ascii="Arial" w:hAnsi="Arial"/>
          <w:b w:val="0"/>
          <w:color w:val="000000"/>
          <w:sz w:val="22"/>
          <w:u w:val="none"/>
        </w:rPr>
        <w:t>League data: Stifel and KBW led 2024 rankings for FS-sector deal advisory per S&amp;P Global</w:t>
      </w:r>
    </w:p>
    <w:p>
      <w:pPr>
        <w:pStyle w:val="ListBullet"/>
        <w:spacing w:line="480" w:lineRule="auto" w:before="0" w:after="0"/>
      </w:pPr>
      <w:r>
        <w:rPr>
          <w:rFonts w:ascii="Arial" w:hAnsi="Arial"/>
          <w:b w:val="0"/>
          <w:color w:val="000000"/>
          <w:sz w:val="22"/>
          <w:u w:val="none"/>
        </w:rPr>
        <w:t>Entry: ten-week Summer Analyst program across offices</w:t>
      </w:r>
    </w:p>
    <w:p>
      <w:pPr>
        <w:spacing w:line="480" w:lineRule="auto" w:before="0" w:after="0"/>
      </w:pPr>
    </w:p>
    <w:p>
      <w:pPr>
        <w:spacing w:line="480" w:lineRule="auto" w:before="0" w:after="0"/>
      </w:pPr>
      <w:r>
        <w:rPr>
          <w:rFonts w:ascii="Arial" w:hAnsi="Arial"/>
          <w:b w:val="0"/>
          <w:color w:val="000000"/>
          <w:sz w:val="22"/>
          <w:u w:val="none"/>
        </w:rPr>
        <w:t>A student targeting FIG specifically should treat KBW as a destination in its own right.</w:t>
      </w:r>
    </w:p>
    <w:p>
      <w:pPr>
        <w:spacing w:line="480" w:lineRule="auto" w:before="0" w:after="0"/>
      </w:pPr>
    </w:p>
    <w:p>
      <w:pPr>
        <w:spacing w:line="480" w:lineRule="auto" w:before="0" w:after="0"/>
      </w:pPr>
      <w:r>
        <w:rPr>
          <w:rFonts w:ascii="Arial" w:hAnsi="Arial"/>
          <w:b/>
          <w:color w:val="000000"/>
          <w:sz w:val="22"/>
          <w:u w:val="none"/>
        </w:rPr>
        <w:t xml:space="preserve">9. </w:t>
      </w:r>
      <w:hyperlink r:id="rId17">
        <w:r>
          <w:rPr>
            <w:rFonts w:ascii="Arial" w:hAnsi="Arial"/>
            <w:b/>
            <w:sz w:val="22"/>
            <w:color w:val="0563C1"/>
            <w:u w:val="single"/>
          </w:rPr>
          <w:t xml:space="preserve">Oppenheimer</w:t>
        </w:r>
      </w:hyperlink>
    </w:p>
    <w:p>
      <w:pPr>
        <w:spacing w:line="480" w:lineRule="auto" w:before="0" w:after="0"/>
      </w:pPr>
    </w:p>
    <w:p>
      <w:pPr>
        <w:spacing w:line="480" w:lineRule="auto" w:before="0" w:after="0"/>
      </w:pPr>
      <w:r>
        <w:rPr>
          <w:rFonts w:ascii="Arial" w:hAnsi="Arial"/>
          <w:b/>
          <w:color w:val="000000"/>
          <w:sz w:val="22"/>
          <w:u w:val="none"/>
        </w:rPr>
        <w:t>Oppenheimer's investment bank grew revenue 51 percent to a record in 2025, quietly outpacing bigger names.</w:t>
      </w:r>
    </w:p>
    <w:p>
      <w:pPr>
        <w:spacing w:line="480" w:lineRule="auto" w:before="0" w:after="0"/>
      </w:pPr>
    </w:p>
    <w:p>
      <w:pPr>
        <w:pStyle w:val="ListBullet"/>
        <w:spacing w:line="480" w:lineRule="auto" w:before="0" w:after="0"/>
      </w:pPr>
      <w:r>
        <w:rPr>
          <w:rFonts w:ascii="Arial" w:hAnsi="Arial"/>
          <w:b w:val="0"/>
          <w:color w:val="000000"/>
          <w:sz w:val="22"/>
          <w:u w:val="none"/>
        </w:rPr>
        <w:t>Website: oppenheimer.com/careers</w:t>
      </w:r>
    </w:p>
    <w:p>
      <w:pPr>
        <w:pStyle w:val="ListBullet"/>
        <w:spacing w:line="480" w:lineRule="auto" w:before="0" w:after="0"/>
      </w:pPr>
      <w:r>
        <w:rPr>
          <w:rFonts w:ascii="Arial" w:hAnsi="Arial"/>
          <w:b w:val="0"/>
          <w:color w:val="000000"/>
          <w:sz w:val="22"/>
          <w:u w:val="none"/>
        </w:rPr>
        <w:t>HQ: New York, with 90+ US locations</w:t>
      </w:r>
    </w:p>
    <w:p>
      <w:pPr>
        <w:pStyle w:val="ListBullet"/>
        <w:spacing w:line="480" w:lineRule="auto" w:before="0" w:after="0"/>
      </w:pPr>
      <w:r>
        <w:rPr>
          <w:rFonts w:ascii="Arial" w:hAnsi="Arial"/>
          <w:b w:val="0"/>
          <w:color w:val="000000"/>
          <w:sz w:val="22"/>
          <w:u w:val="none"/>
        </w:rPr>
        <w:t>Franchise: MM M&amp;A across healthcare, tech, industrials, plus growing aerospace and defense coverage</w:t>
      </w:r>
    </w:p>
    <w:p>
      <w:pPr>
        <w:pStyle w:val="ListBullet"/>
        <w:spacing w:line="480" w:lineRule="auto" w:before="0" w:after="0"/>
      </w:pPr>
      <w:r>
        <w:rPr>
          <w:rFonts w:ascii="Arial" w:hAnsi="Arial"/>
          <w:b w:val="0"/>
          <w:color w:val="000000"/>
          <w:sz w:val="22"/>
          <w:u w:val="none"/>
        </w:rPr>
        <w:t>Fresh fact: record firm revenue of $1.64 billion in fiscal 2025 [VERIFY: annual report]</w:t>
      </w:r>
    </w:p>
    <w:p>
      <w:pPr>
        <w:pStyle w:val="ListBullet"/>
        <w:spacing w:line="480" w:lineRule="auto" w:before="0" w:after="0"/>
      </w:pPr>
      <w:r>
        <w:rPr>
          <w:rFonts w:ascii="Arial" w:hAnsi="Arial"/>
          <w:b w:val="0"/>
          <w:color w:val="000000"/>
          <w:sz w:val="22"/>
          <w:u w:val="none"/>
        </w:rPr>
        <w:t>Entry: Summer Analyst and students-and-graduates hiring</w:t>
      </w:r>
    </w:p>
    <w:p>
      <w:pPr>
        <w:spacing w:line="480" w:lineRule="auto" w:before="0" w:after="0"/>
      </w:pPr>
    </w:p>
    <w:p>
      <w:pPr>
        <w:spacing w:line="480" w:lineRule="auto" w:before="0" w:after="0"/>
      </w:pPr>
      <w:r>
        <w:rPr>
          <w:rFonts w:ascii="Arial" w:hAnsi="Arial"/>
          <w:b w:val="0"/>
          <w:color w:val="000000"/>
          <w:sz w:val="22"/>
          <w:u w:val="none"/>
        </w:rPr>
        <w:t>Smaller classes at a growing platform mean earlier responsibility than the brand name suggests.</w:t>
      </w:r>
    </w:p>
    <w:p>
      <w:pPr>
        <w:spacing w:line="480" w:lineRule="auto" w:before="0" w:after="0"/>
      </w:pPr>
    </w:p>
    <w:p>
      <w:pPr>
        <w:spacing w:line="480" w:lineRule="auto" w:before="0" w:after="0"/>
      </w:pPr>
      <w:r>
        <w:rPr>
          <w:rFonts w:ascii="Arial" w:hAnsi="Arial"/>
          <w:b/>
          <w:color w:val="000000"/>
          <w:sz w:val="22"/>
          <w:u w:val="none"/>
        </w:rPr>
        <w:t xml:space="preserve">10. </w:t>
      </w:r>
      <w:hyperlink r:id="rId18">
        <w:r>
          <w:rPr>
            <w:rFonts w:ascii="Arial" w:hAnsi="Arial"/>
            <w:b/>
            <w:sz w:val="22"/>
            <w:color w:val="0563C1"/>
            <w:u w:val="single"/>
          </w:rPr>
          <w:t xml:space="preserve">Capstone Partners</w:t>
        </w:r>
      </w:hyperlink>
    </w:p>
    <w:p>
      <w:pPr>
        <w:spacing w:line="480" w:lineRule="auto" w:before="0" w:after="0"/>
      </w:pPr>
    </w:p>
    <w:p>
      <w:pPr>
        <w:spacing w:line="480" w:lineRule="auto" w:before="0" w:after="0"/>
      </w:pPr>
      <w:r>
        <w:rPr>
          <w:rFonts w:ascii="Arial" w:hAnsi="Arial"/>
          <w:b/>
          <w:color w:val="000000"/>
          <w:sz w:val="22"/>
          <w:u w:val="none"/>
        </w:rPr>
        <w:t>Capstone Partners covers the lower middle market, the deal-size band where analysts genuinely run workstreams solo.</w:t>
      </w:r>
    </w:p>
    <w:p>
      <w:pPr>
        <w:spacing w:line="480" w:lineRule="auto" w:before="0" w:after="0"/>
      </w:pPr>
    </w:p>
    <w:p>
      <w:pPr>
        <w:pStyle w:val="ListBullet"/>
        <w:spacing w:line="480" w:lineRule="auto" w:before="0" w:after="0"/>
      </w:pPr>
      <w:r>
        <w:rPr>
          <w:rFonts w:ascii="Arial" w:hAnsi="Arial"/>
          <w:b w:val="0"/>
          <w:color w:val="000000"/>
          <w:sz w:val="22"/>
          <w:u w:val="none"/>
        </w:rPr>
        <w:t>Website: capstonepartners.com/careers</w:t>
      </w:r>
    </w:p>
    <w:p>
      <w:pPr>
        <w:pStyle w:val="ListBullet"/>
        <w:spacing w:line="480" w:lineRule="auto" w:before="0" w:after="0"/>
      </w:pPr>
      <w:r>
        <w:rPr>
          <w:rFonts w:ascii="Arial" w:hAnsi="Arial"/>
          <w:b w:val="0"/>
          <w:color w:val="000000"/>
          <w:sz w:val="22"/>
          <w:u w:val="none"/>
        </w:rPr>
        <w:t>HQ: Boston, a subsidiary of Huntington Bancshares</w:t>
      </w:r>
    </w:p>
    <w:p>
      <w:pPr>
        <w:pStyle w:val="ListBullet"/>
        <w:spacing w:line="480" w:lineRule="auto" w:before="0" w:after="0"/>
      </w:pPr>
      <w:r>
        <w:rPr>
          <w:rFonts w:ascii="Arial" w:hAnsi="Arial"/>
          <w:b w:val="0"/>
          <w:color w:val="000000"/>
          <w:sz w:val="22"/>
          <w:u w:val="none"/>
        </w:rPr>
        <w:t>Franchise: lower-MM sell-sides, and the industry's most-cited MM valuation research</w:t>
      </w:r>
    </w:p>
    <w:p>
      <w:pPr>
        <w:pStyle w:val="ListBullet"/>
        <w:spacing w:line="480" w:lineRule="auto" w:before="0" w:after="0"/>
      </w:pPr>
      <w:r>
        <w:rPr>
          <w:rFonts w:ascii="Arial" w:hAnsi="Arial"/>
          <w:b w:val="0"/>
          <w:color w:val="000000"/>
          <w:sz w:val="22"/>
          <w:u w:val="none"/>
        </w:rPr>
        <w:t>Fresh fact: acquired TM Capital in 2026, adding senior PE coverage [VERIFY: integration status]</w:t>
      </w:r>
    </w:p>
    <w:p>
      <w:pPr>
        <w:pStyle w:val="ListBullet"/>
        <w:spacing w:line="480" w:lineRule="auto" w:before="0" w:after="0"/>
      </w:pPr>
      <w:r>
        <w:rPr>
          <w:rFonts w:ascii="Arial" w:hAnsi="Arial"/>
          <w:b w:val="0"/>
          <w:color w:val="000000"/>
          <w:sz w:val="22"/>
          <w:u w:val="none"/>
        </w:rPr>
        <w:t>Entry: analyst hiring in Boston and regional offices</w:t>
      </w:r>
    </w:p>
    <w:p>
      <w:pPr>
        <w:spacing w:line="480" w:lineRule="auto" w:before="0" w:after="0"/>
      </w:pPr>
    </w:p>
    <w:p>
      <w:pPr>
        <w:spacing w:line="480" w:lineRule="auto" w:before="0" w:after="0"/>
      </w:pPr>
      <w:r>
        <w:rPr>
          <w:rFonts w:ascii="Arial" w:hAnsi="Arial"/>
          <w:b w:val="0"/>
          <w:color w:val="000000"/>
          <w:sz w:val="22"/>
          <w:u w:val="none"/>
        </w:rPr>
        <w:t>Lower-MM deals close in months, so a two-year analyst can leave with six or eight closed transactions on the resume.</w:t>
      </w:r>
    </w:p>
    <w:p>
      <w:pPr>
        <w:spacing w:line="480" w:lineRule="auto" w:before="0" w:after="0"/>
      </w:pPr>
    </w:p>
    <w:p>
      <w:pPr>
        <w:pStyle w:val="Heading2"/>
        <w:spacing w:line="480" w:lineRule="auto" w:before="0" w:after="0"/>
      </w:pPr>
      <w:r>
        <w:rPr>
          <w:rFonts w:ascii="Arial" w:hAnsi="Arial"/>
          <w:b/>
          <w:color w:val="000000"/>
          <w:sz w:val="36"/>
          <w:u w:val="none"/>
        </w:rPr>
        <w:t>Why the MM interview is a different game</w:t>
      </w:r>
    </w:p>
    <w:p>
      <w:pPr>
        <w:spacing w:line="480" w:lineRule="auto" w:before="0" w:after="0"/>
      </w:pPr>
      <w:r>
        <w:rPr>
          <w:rFonts w:ascii="Arial" w:hAnsi="Arial"/>
          <w:b w:val="0"/>
          <w:color w:val="000000"/>
          <w:sz w:val="22"/>
          <w:u w:val="none"/>
        </w:rPr>
        <w:t>The technical bar matches the bulge bracket's, same accounting, same DCF, same LBO logic, but the fit conversation runs deeper because the classes are small and the offices are tight. A Baird or Blair interviewer is deciding whether to spend two years three feet from you, and it shows in how much longer they sit on "why us" and "why this city."</w:t>
      </w:r>
    </w:p>
    <w:p>
      <w:pPr>
        <w:spacing w:line="480" w:lineRule="auto" w:before="0" w:after="0"/>
      </w:pPr>
    </w:p>
    <w:p>
      <w:pPr>
        <w:spacing w:line="480" w:lineRule="auto" w:before="0" w:after="0"/>
      </w:pPr>
      <w:r>
        <w:rPr>
          <w:rFonts w:ascii="Arial" w:hAnsi="Arial"/>
          <w:b w:val="0"/>
          <w:color w:val="000000"/>
          <w:sz w:val="22"/>
          <w:u w:val="none"/>
        </w:rPr>
        <w:t>Two answers carry disproportionate weight. The geography answer: a candidate with a real reason for Milwaukee or Richmond reads as retention-safe, and these firms price retention. The process answer: MM banks live inside the private equity ecosystem, running auctions for sponsor-backed companies, so a candidate who can sketch a sell-side timeline from kickoff through management presentations to signing sounds like they've already worked there.</w:t>
      </w:r>
    </w:p>
    <w:p>
      <w:pPr>
        <w:spacing w:line="480" w:lineRule="auto" w:before="0" w:after="0"/>
      </w:pPr>
    </w:p>
    <w:p>
      <w:pPr>
        <w:spacing w:line="480" w:lineRule="auto" w:before="0" w:after="0"/>
      </w:pPr>
      <w:r>
        <w:rPr>
          <w:rFonts w:ascii="Arial" w:hAnsi="Arial"/>
          <w:b/>
          <w:color w:val="000000"/>
          <w:sz w:val="22"/>
          <w:u w:val="none"/>
        </w:rPr>
        <w:t>Middle market interviewers screen for candidates who chose the middle market, and the difference between chose and settled is unmistakable across a table.</w:t>
      </w:r>
      <w:r>
        <w:rPr>
          <w:rFonts w:ascii="Arial" w:hAnsi="Arial"/>
          <w:b w:val="0"/>
          <w:color w:val="000000"/>
          <w:sz w:val="22"/>
          <w:u w:val="none"/>
        </w:rPr>
        <w:t xml:space="preserve"> Build the choice story before the first coffee chat, not after the offer.</w:t>
      </w:r>
    </w:p>
    <w:p>
      <w:pPr>
        <w:spacing w:line="480" w:lineRule="auto" w:before="0" w:after="0"/>
      </w:pPr>
    </w:p>
    <w:p>
      <w:pPr>
        <w:pStyle w:val="Heading2"/>
        <w:spacing w:line="480" w:lineRule="auto" w:before="0" w:after="0"/>
      </w:pPr>
      <w:r>
        <w:rPr>
          <w:rFonts w:ascii="Arial" w:hAnsi="Arial"/>
          <w:b/>
          <w:color w:val="000000"/>
          <w:sz w:val="36"/>
          <w:u w:val="none"/>
        </w:rPr>
        <w:t>What about the banks not on this list?</w:t>
      </w:r>
    </w:p>
    <w:p>
      <w:pPr>
        <w:spacing w:line="480" w:lineRule="auto" w:before="0" w:after="0"/>
      </w:pPr>
      <w:r>
        <w:rPr>
          <w:rFonts w:ascii="Arial" w:hAnsi="Arial"/>
          <w:b w:val="0"/>
          <w:color w:val="000000"/>
          <w:sz w:val="22"/>
          <w:u w:val="none"/>
        </w:rPr>
        <w:t>Jefferies graduated out of this category: its advisory revenue hit a record $2.1 billion in fiscal 2025, and its deal sizes now overlap the bulge bracket's, so we treat it as a full-service firm. BMO and the other Canadian banks run real US MM practices inside universal-bank structures. Brown Gibbons Lang is a strong Cleveland independent whose environmental-services team led the Frontier Waste sale to GFL Environmental in 2026. TD Cowen still hires, though its US campus recruiting now runs under the TD Securities banner. None of these is a wrong answer; they just fit the category edges rather than its center.</w:t>
      </w:r>
    </w:p>
    <w:p>
      <w:pPr>
        <w:spacing w:line="480" w:lineRule="auto" w:before="0" w:after="0"/>
      </w:pPr>
    </w:p>
    <w:p>
      <w:pPr>
        <w:pStyle w:val="Heading2"/>
        <w:spacing w:line="480" w:lineRule="auto" w:before="0" w:after="0"/>
      </w:pPr>
      <w:r>
        <w:rPr>
          <w:rFonts w:ascii="Arial" w:hAnsi="Arial"/>
          <w:b/>
          <w:color w:val="000000"/>
          <w:sz w:val="36"/>
          <w:u w:val="none"/>
        </w:rPr>
        <w:t>The honest playbook for 2027</w:t>
      </w:r>
    </w:p>
    <w:p>
      <w:pPr>
        <w:spacing w:line="480" w:lineRule="auto" w:before="0" w:after="0"/>
      </w:pPr>
      <w:r>
        <w:rPr>
          <w:rFonts w:ascii="Arial" w:hAnsi="Arial"/>
          <w:b w:val="0"/>
          <w:color w:val="000000"/>
          <w:sz w:val="22"/>
          <w:u w:val="none"/>
        </w:rPr>
        <w:t>Middle market recruiting runs slightly later and less compressed than BB timelines, with Summer 2027 applications posting from now through fall 2026 [VERIFY: firm-by-firm windows]. Three moves put you ahead of the field.</w:t>
      </w:r>
    </w:p>
    <w:p>
      <w:pPr>
        <w:spacing w:line="480" w:lineRule="auto" w:before="0" w:after="0"/>
      </w:pPr>
    </w:p>
    <w:p>
      <w:pPr>
        <w:spacing w:line="480" w:lineRule="auto" w:before="0" w:after="0"/>
      </w:pPr>
      <w:r>
        <w:rPr>
          <w:rFonts w:ascii="Arial" w:hAnsi="Arial"/>
          <w:b w:val="0"/>
          <w:color w:val="000000"/>
          <w:sz w:val="22"/>
          <w:u w:val="none"/>
        </w:rPr>
        <w:t>First, apply where the offices are, not where your classmates apply. Chicago, Milwaukee, Minneapolis, Richmond, and St. Louis classes see thinner Ivy saturation than New York, and the banks know their hub-city applicants are self-selected for genuine interest. Second, learn the sponsor ecosystem: MM banks live on private equity relationships, so knowing how a sell-side process works beats memorizing another accounting mnemonic. Third, say the quiet part in interviews: you want reps and responsibility, and you've done the math on where analysts actually get them.</w:t>
      </w:r>
    </w:p>
    <w:p>
      <w:pPr>
        <w:spacing w:line="480" w:lineRule="auto" w:before="0" w:after="0"/>
      </w:pPr>
    </w:p>
    <w:p>
      <w:pPr>
        <w:spacing w:line="480" w:lineRule="auto" w:before="0" w:after="0"/>
      </w:pPr>
      <w:r>
        <w:rPr>
          <w:rFonts w:ascii="Arial" w:hAnsi="Arial"/>
          <w:b w:val="0"/>
          <w:color w:val="000000"/>
          <w:sz w:val="22"/>
          <w:u w:val="none"/>
        </w:rPr>
        <w:t>For non-target students the math is friendlier still. These ten firms recruit at state flagships and regional schools the bulge brackets skip, and application volumes per seat run meaningfully lower outside New York. A 3.7 at Wisconsin with two Baird coffee chats is a live candidate in Milwaukee in a way that same profile never quite becomes at a BB in Manhattan.</w:t>
      </w:r>
    </w:p>
    <w:p>
      <w:pPr>
        <w:spacing w:line="480" w:lineRule="auto" w:before="0" w:after="0"/>
      </w:pPr>
    </w:p>
    <w:p>
      <w:pPr>
        <w:spacing w:line="480" w:lineRule="auto" w:before="0" w:after="0"/>
      </w:pPr>
      <w:r>
        <w:rPr>
          <w:rFonts w:ascii="Arial" w:hAnsi="Arial"/>
          <w:b w:val="0"/>
          <w:color w:val="000000"/>
          <w:sz w:val="22"/>
          <w:u w:val="none"/>
        </w:rPr>
        <w:t xml:space="preserve">Exits skew toward MM private equity, corporate development, and growth equity rather than megafunds, and the analysts who close the most deals choose among the most doors. </w:t>
      </w:r>
      <w:r>
        <w:rPr>
          <w:rFonts w:ascii="Arial" w:hAnsi="Arial"/>
          <w:b/>
          <w:color w:val="000000"/>
          <w:sz w:val="22"/>
          <w:u w:val="none"/>
        </w:rPr>
        <w:t>In the middle market, your deal count is your resume, and these ten firms print deal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l.com/careers/" TargetMode="External"/><Relationship Id="rId10" Type="http://schemas.openxmlformats.org/officeDocument/2006/relationships/hyperlink" Target="https://www.williamblair.com/careers" TargetMode="External"/><Relationship Id="rId11" Type="http://schemas.openxmlformats.org/officeDocument/2006/relationships/hyperlink" Target="https://www.bairdcareers.com/" TargetMode="External"/><Relationship Id="rId12" Type="http://schemas.openxmlformats.org/officeDocument/2006/relationships/hyperlink" Target="https://www.pipersandler.com/careers" TargetMode="External"/><Relationship Id="rId13" Type="http://schemas.openxmlformats.org/officeDocument/2006/relationships/hyperlink" Target="https://www.raymondjames.com/careers" TargetMode="External"/><Relationship Id="rId14" Type="http://schemas.openxmlformats.org/officeDocument/2006/relationships/hyperlink" Target="https://www.harriswilliams.com/careers" TargetMode="External"/><Relationship Id="rId15" Type="http://schemas.openxmlformats.org/officeDocument/2006/relationships/hyperlink" Target="https://www.lincolninternational.com/careers/" TargetMode="External"/><Relationship Id="rId16" Type="http://schemas.openxmlformats.org/officeDocument/2006/relationships/hyperlink" Target="https://www.stifel.com/careers" TargetMode="External"/><Relationship Id="rId17" Type="http://schemas.openxmlformats.org/officeDocument/2006/relationships/hyperlink" Target="https://www.oppenheimer.com/careers" TargetMode="External"/><Relationship Id="rId18" Type="http://schemas.openxmlformats.org/officeDocument/2006/relationships/hyperlink" Target="https://www.capstonepartners.com/about/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