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How to Get the BCG Sophomore Internship</w:t>
      </w:r>
    </w:p>
    <w:p>
      <w:pPr/>
      <w:r>
        <w:rPr>
          <w:rFonts w:ascii="Arial" w:hAnsi="Arial" w:eastAsia="Arial" w:cs="Arial"/>
          <w:b/>
        </w:rPr>
        <w:t>Meta description:</w:t>
      </w:r>
      <w:r>
        <w:rPr>
          <w:rFonts w:ascii="Arial" w:hAnsi="Arial" w:eastAsia="Arial" w:cs="Arial"/>
        </w:rPr>
        <w:t xml:space="preserve"> WSG founder Stephen Turban on how to get the BCG sophomore internship: Growing Future Leaders, the Summer Associate timeline, the case format and a prep plan.</w:t>
      </w:r>
    </w:p>
    <w:p>
      <w:pPr/>
    </w:p>
    <w:p>
      <w:pPr/>
      <w:r>
        <w:rPr>
          <w:rFonts w:ascii="Arial" w:hAnsi="Arial" w:eastAsia="Arial" w:cs="Arial"/>
        </w:rPr>
        <w:t>Leo, a sophomore I worked with through WSG, called me last September with two browser tabs open. One was BCG's Growing Future Leaders page, the program that comes up first when you type "BCG sophomore internship" into Google. He'd read the eligibility line twice and it wasn't written for him. The other tab was a bulge bracket bank's sophomore program with a deadline three weeks out. His question: give up on BCG until junior year and go all in on banking, or keep looking for a BCG door he hadn't found yet.</w:t>
      </w:r>
    </w:p>
    <w:p>
      <w:pPr/>
    </w:p>
    <w:p>
      <w:pPr/>
      <w:r>
        <w:rPr>
          <w:rFonts w:ascii="Arial" w:hAnsi="Arial" w:eastAsia="Arial" w:cs="Arial"/>
        </w:rPr>
        <w:t>I'm Stephen Turban. I went through McKinsey's recruiting myself and now run WSG, where I get a version of this call every fall. The door Leo hadn't found is the one most sophomores miss: BCG's Summer Associate application, which you now submit as a sophomore. He applied in the spring, did cases all summer, and signed his BCG offer in August. This guide covers what "the BCG sophomore internship" actually means in 2026, who can get each version, the next open dates, how the application and the case interviews work, and the month-by-month plan Leo followed.</w:t>
      </w:r>
    </w:p>
    <w:p>
      <w:pPr/>
    </w:p>
    <w:p>
      <w:pPr>
        <w:pStyle w:val="Heading2"/>
      </w:pPr>
      <w:r>
        <w:rPr>
          <w:rFonts w:ascii="Arial" w:hAnsi="Arial" w:eastAsia="Arial" w:cs="Arial"/>
        </w:rPr>
        <w:t>Does BCG have a sophomore internship?</w:t>
      </w:r>
    </w:p>
    <w:p>
      <w:pPr/>
      <w:r>
        <w:rPr>
          <w:rFonts w:ascii="Arial" w:hAnsi="Arial" w:eastAsia="Arial" w:cs="Arial"/>
          <w:b/>
        </w:rPr>
        <w:t>BCG has run one true sophomore internship, Growing Future Leaders, but as of late September 2026 there's no live posting for it.</w:t>
      </w:r>
      <w:r>
        <w:rPr>
          <w:rFonts w:ascii="Arial" w:hAnsi="Arial" w:eastAsia="Arial" w:cs="Arial"/>
        </w:rPr>
        <w:t xml:space="preserve"> Growing Future Leaders (GFL) has been a 10-week paid internship in BCG's US offices for sophomores from specific underrepresented backgrounds, and BCG's own wording says finishing it makes you "eligible for a junior-year internship offer" [VERIFY: GFL posting on careers.bcg.com and current eligibility wording]. The last confirmed cycle closed September 24, 2025, for Summer 2026 [VERIFY: fall 2026 deadline, if BCG posts one]. Right now the GFL link on BCG's careers site sends you to the general campus page, so treat the fall 2026 cycle as unconfirmed until BCG says otherwise.</w:t>
      </w:r>
    </w:p>
    <w:p>
      <w:pPr/>
    </w:p>
    <w:p>
      <w:pPr>
        <w:pStyle w:val="Heading2"/>
      </w:pPr>
      <w:r>
        <w:rPr>
          <w:rFonts w:ascii="Arial" w:hAnsi="Arial" w:eastAsia="Arial" w:cs="Arial"/>
        </w:rPr>
        <w:t>When do sophomores apply to BCG?</w:t>
      </w:r>
    </w:p>
    <w:p>
      <w:pPr/>
      <w:r>
        <w:rPr>
          <w:rFonts w:ascii="Arial" w:hAnsi="Arial" w:eastAsia="Arial" w:cs="Arial"/>
          <w:b/>
        </w:rPr>
        <w:t>For most sophomores, the BCG application that matters is the Summer Associate role, and you now apply for it in sophomore spring for the following summer.</w:t>
      </w:r>
      <w:r>
        <w:rPr>
          <w:rFonts w:ascii="Arial" w:hAnsi="Arial" w:eastAsia="Arial" w:cs="Arial"/>
        </w:rPr>
        <w:t xml:space="preserve"> BCG's Summer 2027 Summer Associate application closed June 2, 2026, for students graduating in 2028 [VERIFY: Yale OCS and Tufts deadline posts; BCG US Associate page]. The next window is for Summer 2028 internships, open to students graduating around spring 2029, and if BCG holds its pattern it will run in the first half of 2027 [VERIFY: Summer 2028 window and graduation-date range on BCG's US Associate page]. So a sophomore reading this in fall 2026 has one BCG internship application coming up for certain, in spring 2027, and possibly a second one this fall if GFL returns.</w:t>
      </w:r>
    </w:p>
    <w:p>
      <w:pPr/>
    </w:p>
    <w:p>
      <w:pPr>
        <w:pStyle w:val="Heading2"/>
      </w:pPr>
      <w:r>
        <w:rPr>
          <w:rFonts w:ascii="Arial" w:hAnsi="Arial" w:eastAsia="Arial" w:cs="Arial"/>
        </w:rPr>
        <w:t>What BCG wants from a sophomore</w:t>
      </w:r>
    </w:p>
    <w:p>
      <w:pPr/>
      <w:r>
        <w:rPr>
          <w:rFonts w:ascii="Arial" w:hAnsi="Arial" w:eastAsia="Arial" w:cs="Arial"/>
        </w:rPr>
        <w:t xml:space="preserve">Start on BCG's side of the table. McKinsey, BCG and Bain compete for the same few thousand students at the same schools, and each firm wants to lock in the strongest ones before the other two and the banks make offers. That pressure is why MBB moved junior-summer internship recruiting a full year earlier. </w:t>
      </w:r>
      <w:r>
        <w:rPr>
          <w:rFonts w:ascii="Arial" w:hAnsi="Arial" w:eastAsia="Arial" w:cs="Arial"/>
          <w:b/>
        </w:rPr>
        <w:t>BCG now fills its junior-summer Summer Associate class about 15 months ahead, so the "sophomore" BCG application is really the junior internship, applied for as a sophomore.</w:t>
      </w:r>
    </w:p>
    <w:p>
      <w:pPr/>
    </w:p>
    <w:p>
      <w:pPr/>
      <w:r>
        <w:rPr>
          <w:rFonts w:ascii="Arial" w:hAnsi="Arial" w:eastAsia="Arial" w:cs="Arial"/>
        </w:rPr>
        <w:t xml:space="preserve">A sophomore internship does the same job even earlier. If BCG spends ten weeks with you the summer after sophomore year, it gets a long look at how you work before it has to decide on a junior-summer offer. You get a head start the other applicants don't have. </w:t>
      </w:r>
      <w:r>
        <w:rPr>
          <w:rFonts w:ascii="Arial" w:hAnsi="Arial" w:eastAsia="Arial" w:cs="Arial"/>
          <w:b/>
        </w:rPr>
        <w:t>Every BCG recruiting decision comes down to one question: does the firm have early, low-risk evidence that you can do the job?</w:t>
      </w:r>
    </w:p>
    <w:p>
      <w:pPr/>
    </w:p>
    <w:p>
      <w:pPr/>
      <w:r>
        <w:rPr>
          <w:rFonts w:ascii="Arial" w:hAnsi="Arial" w:eastAsia="Arial" w:cs="Arial"/>
        </w:rPr>
        <w:t>That's why the pieces that matter on a BCG application are the ones that produce evidence. That means a clean assessment score, a case where you drove the analysis yourself, and a "why BCG" answer that names a real conversation. Prestige lines on a resume don't produce evidence, so they count for less than most sophomores think.</w:t>
      </w:r>
    </w:p>
    <w:p>
      <w:pPr/>
    </w:p>
    <w:p>
      <w:pPr>
        <w:pStyle w:val="Heading2"/>
      </w:pPr>
      <w:r>
        <w:rPr>
          <w:rFonts w:ascii="Arial" w:hAnsi="Arial" w:eastAsia="Arial" w:cs="Arial"/>
        </w:rPr>
        <w:t>Growing Future Leaders: what's confirmed and what isn't</w:t>
      </w:r>
    </w:p>
    <w:p>
      <w:pPr/>
      <w:r>
        <w:rPr>
          <w:rFonts w:ascii="Arial" w:hAnsi="Arial" w:eastAsia="Arial" w:cs="Arial"/>
        </w:rPr>
        <w:t>Here's what BCG and university career centers have published about GFL in past cycles:</w:t>
      </w:r>
    </w:p>
    <w:p>
      <w:pPr/>
    </w:p>
    <w:p>
      <w:pPr>
        <w:pStyle w:val="ListBullet"/>
      </w:pPr>
      <w:r>
        <w:rPr>
          <w:rFonts w:ascii="Arial" w:hAnsi="Arial" w:eastAsia="Arial" w:cs="Arial"/>
          <w:b/>
        </w:rPr>
        <w:t>What it is:</w:t>
      </w:r>
      <w:r>
        <w:rPr>
          <w:rFonts w:ascii="Arial" w:hAnsi="Arial" w:eastAsia="Arial" w:cs="Arial"/>
        </w:rPr>
        <w:t xml:space="preserve"> a 10-week summer program where interns join a BCG case team, get paired with a mentor, and go through training and development sessions.</w:t>
      </w:r>
    </w:p>
    <w:p>
      <w:pPr>
        <w:pStyle w:val="ListBullet"/>
      </w:pPr>
      <w:r>
        <w:rPr>
          <w:rFonts w:ascii="Arial" w:hAnsi="Arial" w:eastAsia="Arial" w:cs="Arial"/>
          <w:b/>
        </w:rPr>
        <w:t>Where:</w:t>
      </w:r>
      <w:r>
        <w:rPr>
          <w:rFonts w:ascii="Arial" w:hAnsi="Arial" w:eastAsia="Arial" w:cs="Arial"/>
        </w:rPr>
        <w:t xml:space="preserve"> "one of our US offices," in BCG's wording. Prep sites also mention Canada, but BCG's own copy says US [VERIFY: offices on the live posting].</w:t>
      </w:r>
    </w:p>
    <w:p>
      <w:pPr>
        <w:pStyle w:val="ListBullet"/>
      </w:pPr>
      <w:r>
        <w:rPr>
          <w:rFonts w:ascii="Arial" w:hAnsi="Arial" w:eastAsia="Arial" w:cs="Arial"/>
          <w:b/>
        </w:rPr>
        <w:t>Who:</w:t>
      </w:r>
      <w:r>
        <w:rPr>
          <w:rFonts w:ascii="Arial" w:hAnsi="Arial" w:eastAsia="Arial" w:cs="Arial"/>
        </w:rPr>
        <w:t xml:space="preserve"> sophomores who identify as Black/African American, Hispanic/Latino, or Native American/Alaska Native, per BCG's past language as quoted by Amherst's career center [VERIFY: eligibility wording on the live posting; BCG has revised eligibility language on several programs in recent cycles].</w:t>
      </w:r>
    </w:p>
    <w:p>
      <w:pPr>
        <w:pStyle w:val="ListBullet"/>
      </w:pPr>
      <w:r>
        <w:rPr>
          <w:rFonts w:ascii="Arial" w:hAnsi="Arial" w:eastAsia="Arial" w:cs="Arial"/>
          <w:b/>
        </w:rPr>
        <w:t>What happens after:</w:t>
      </w:r>
      <w:r>
        <w:rPr>
          <w:rFonts w:ascii="Arial" w:hAnsi="Arial" w:eastAsia="Arial" w:cs="Arial"/>
        </w:rPr>
        <w:t xml:space="preserve"> "Upon successful completion of the GFL Internship Program, individuals are eligible for a junior-year internship offer."</w:t>
      </w:r>
    </w:p>
    <w:p>
      <w:pPr>
        <w:pStyle w:val="ListBullet"/>
      </w:pPr>
      <w:r>
        <w:rPr>
          <w:rFonts w:ascii="Arial" w:hAnsi="Arial" w:eastAsia="Arial" w:cs="Arial"/>
          <w:b/>
        </w:rPr>
        <w:t>Last confirmed deadline:</w:t>
      </w:r>
      <w:r>
        <w:rPr>
          <w:rFonts w:ascii="Arial" w:hAnsi="Arial" w:eastAsia="Arial" w:cs="Arial"/>
        </w:rPr>
        <w:t xml:space="preserve"> September 24, 2025, for Summer 2026. Villanova's career center listed that cycle as BCG's "Sophomore Summer Associate" for the Class of 2028 [VERIFY: whether BCG posts a fall 2026 cycle and under which name].</w:t>
      </w:r>
    </w:p>
    <w:p>
      <w:pPr>
        <w:pStyle w:val="ListBullet"/>
      </w:pPr>
      <w:r>
        <w:rPr>
          <w:rFonts w:ascii="Arial" w:hAnsi="Arial" w:eastAsia="Arial" w:cs="Arial"/>
          <w:b/>
        </w:rPr>
        <w:t>Application pieces in past cycles:</w:t>
      </w:r>
      <w:r>
        <w:rPr>
          <w:rFonts w:ascii="Arial" w:hAnsi="Arial" w:eastAsia="Arial" w:cs="Arial"/>
        </w:rPr>
        <w:t xml:space="preserve"> a resume, an optional cover letter, an unofficial transcript, SAT or ACT scores with the subscore breakdown, and office preferences, followed by an online assessment and then behavioral and case interviews [VERIFY: current application components].</w:t>
      </w:r>
    </w:p>
    <w:p>
      <w:pPr>
        <w:pStyle w:val="ListBullet"/>
      </w:pPr>
      <w:r>
        <w:rPr>
          <w:rFonts w:ascii="Arial" w:hAnsi="Arial" w:eastAsia="Arial" w:cs="Arial"/>
          <w:b/>
        </w:rPr>
        <w:t>Pay:</w:t>
      </w:r>
      <w:r>
        <w:rPr>
          <w:rFonts w:ascii="Arial" w:hAnsi="Arial" w:eastAsia="Arial" w:cs="Arial"/>
        </w:rPr>
        <w:t xml:space="preserve"> paid, but BCG doesn't publish a GFL figure, so ignore the dollar ranges you see on prep sites.</w:t>
      </w:r>
    </w:p>
    <w:p>
      <w:pPr/>
    </w:p>
    <w:p>
      <w:pPr/>
      <w:r>
        <w:rPr>
          <w:rFonts w:ascii="Arial" w:hAnsi="Arial" w:eastAsia="Arial" w:cs="Arial"/>
        </w:rPr>
        <w:t xml:space="preserve">Now the part that isn't settled. BCG hasn't posted a fall 2026 GFL page, and the Bridge to Consulting page (a workshop for freshmen and sophomores from the same backgrounds) currently sends you to the general campus page too [VERIFY: Bridge to Consulting status]. BCG's other early program changed shape this year: BCG Advance, a women's conference that used to be for sophomores, is now only for juniors [VERIFY: BCG Advance eligibility on careers.bcg.com for the 2027 conference], and BCG's own FAQ says it is "continuing to invest in early engagement for sophomore candidates" without naming an internship. </w:t>
      </w:r>
      <w:r>
        <w:rPr>
          <w:rFonts w:ascii="Arial" w:hAnsi="Arial" w:eastAsia="Arial" w:cs="Arial"/>
          <w:b/>
        </w:rPr>
        <w:t>Nothing BCG has published says GFL is gone, and nothing says it's coming back this fall, so plan for the Summer Associate deadline and treat GFL as a bonus if it opens.</w:t>
      </w:r>
    </w:p>
    <w:p>
      <w:pPr/>
    </w:p>
    <w:p>
      <w:pPr/>
      <w:r>
        <w:rPr>
          <w:rFonts w:ascii="Arial" w:hAnsi="Arial" w:eastAsia="Arial" w:cs="Arial"/>
        </w:rPr>
        <w:t xml:space="preserve">There's also a timing problem nobody has explained publicly. A sophomore who interns through GFL in Summer 2027 finishes in August. But BCG's Summer 2028 Summer Associate deadline, if it follows this year's pattern, lands in June 2027, two months before that [VERIFY: Summer 2028 Summer Associate deadline]. How BCG sequences the GFL return offer against its earlier main deadline hasn't been published. </w:t>
      </w:r>
      <w:r>
        <w:rPr>
          <w:rFonts w:ascii="Arial" w:hAnsi="Arial" w:eastAsia="Arial" w:cs="Arial"/>
          <w:b/>
        </w:rPr>
        <w:t>If you're eligible for GFL, ask a BCG recruiter directly whether GFL interns still get a junior-summer offer without a separate spring application.</w:t>
      </w:r>
    </w:p>
    <w:p>
      <w:pPr/>
    </w:p>
    <w:p>
      <w:pPr>
        <w:pStyle w:val="Heading2"/>
      </w:pPr>
      <w:r>
        <w:rPr>
          <w:rFonts w:ascii="Arial" w:hAnsi="Arial" w:eastAsia="Arial" w:cs="Arial"/>
        </w:rPr>
        <w:t>The BCG sophomore internship timeline for the next open cycle</w:t>
      </w:r>
    </w:p>
    <w:p>
      <w:pPr/>
      <w:r>
        <w:rPr>
          <w:rFonts w:ascii="Arial" w:hAnsi="Arial" w:eastAsia="Arial" w:cs="Arial"/>
        </w:rPr>
        <w:t>Here's the cycle for a sophomore reading this in fall 2026, who graduates around spring 2029:</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What</w:t>
            </w:r>
          </w:p>
        </w:tc>
        <w:tc>
          <w:tcPr>
            <w:tcW w:type="dxa" w:w="2340"/>
          </w:tcPr>
          <w:p>
            <w:pPr>
              <w:spacing w:line="240" w:lineRule="auto" w:before="40" w:after="40"/>
            </w:pPr>
            <w:r>
              <w:rPr>
                <w:color w:val="000000"/>
                <w:sz w:val="20"/>
              </w:rPr>
            </w:r>
            <w:r>
              <w:rPr>
                <w:rFonts w:ascii="Arial" w:hAnsi="Arial" w:eastAsia="Arial" w:cs="Arial"/>
                <w:b/>
                <w:color w:val="000000"/>
                <w:sz w:val="20"/>
              </w:rPr>
              <w:t>Apply</w:t>
            </w:r>
          </w:p>
        </w:tc>
        <w:tc>
          <w:tcPr>
            <w:tcW w:type="dxa" w:w="2340"/>
          </w:tcPr>
          <w:p>
            <w:pPr>
              <w:spacing w:line="240" w:lineRule="auto" w:before="40" w:after="40"/>
            </w:pPr>
            <w:r>
              <w:rPr>
                <w:color w:val="000000"/>
                <w:sz w:val="20"/>
              </w:rPr>
            </w:r>
            <w:r>
              <w:rPr>
                <w:rFonts w:ascii="Arial" w:hAnsi="Arial" w:eastAsia="Arial" w:cs="Arial"/>
                <w:b/>
                <w:color w:val="000000"/>
                <w:sz w:val="20"/>
              </w:rPr>
              <w:t>Happens</w:t>
            </w:r>
          </w:p>
        </w:tc>
        <w:tc>
          <w:tcPr>
            <w:tcW w:type="dxa" w:w="2340"/>
          </w:tcPr>
          <w:p>
            <w:pPr>
              <w:spacing w:line="240" w:lineRule="auto" w:before="40" w:after="40"/>
            </w:pPr>
            <w:r>
              <w:rPr>
                <w:color w:val="000000"/>
                <w:sz w:val="20"/>
              </w:rPr>
            </w:r>
            <w:r>
              <w:rPr>
                <w:rFonts w:ascii="Arial" w:hAnsi="Arial" w:eastAsia="Arial" w:cs="Arial"/>
                <w:b/>
                <w:color w:val="000000"/>
                <w:sz w:val="20"/>
              </w:rPr>
              <w:t>Status</w:t>
            </w:r>
          </w:p>
        </w:tc>
      </w:tr>
      <w:tr>
        <w:tc>
          <w:tcPr>
            <w:tcW w:type="dxa" w:w="2340"/>
          </w:tcPr>
          <w:p>
            <w:pPr>
              <w:spacing w:line="240" w:lineRule="auto" w:before="40" w:after="40"/>
            </w:pPr>
            <w:r>
              <w:rPr>
                <w:color w:val="000000"/>
                <w:sz w:val="20"/>
              </w:rPr>
            </w:r>
            <w:r>
              <w:rPr>
                <w:rFonts w:ascii="Arial" w:hAnsi="Arial" w:eastAsia="Arial" w:cs="Arial"/>
                <w:color w:val="000000"/>
                <w:sz w:val="20"/>
              </w:rPr>
              <w:t>Growing Future Leaders (sophomore summer internship)</w:t>
            </w:r>
          </w:p>
        </w:tc>
        <w:tc>
          <w:tcPr>
            <w:tcW w:type="dxa" w:w="2340"/>
          </w:tcPr>
          <w:p>
            <w:pPr>
              <w:spacing w:line="240" w:lineRule="auto" w:before="40" w:after="40"/>
            </w:pPr>
            <w:r>
              <w:rPr>
                <w:color w:val="000000"/>
                <w:sz w:val="20"/>
              </w:rPr>
            </w:r>
            <w:r>
              <w:rPr>
                <w:rFonts w:ascii="Arial" w:hAnsi="Arial" w:eastAsia="Arial" w:cs="Arial"/>
                <w:color w:val="000000"/>
                <w:sz w:val="20"/>
              </w:rPr>
              <w:t>Fall 2026, if it runs</w:t>
            </w:r>
          </w:p>
        </w:tc>
        <w:tc>
          <w:tcPr>
            <w:tcW w:type="dxa" w:w="2340"/>
          </w:tcPr>
          <w:p>
            <w:pPr>
              <w:spacing w:line="240" w:lineRule="auto" w:before="40" w:after="40"/>
            </w:pPr>
            <w:r>
              <w:rPr>
                <w:color w:val="000000"/>
                <w:sz w:val="20"/>
              </w:rPr>
            </w:r>
            <w:r>
              <w:rPr>
                <w:rFonts w:ascii="Arial" w:hAnsi="Arial" w:eastAsia="Arial" w:cs="Arial"/>
                <w:color w:val="000000"/>
                <w:sz w:val="20"/>
              </w:rPr>
              <w:t>Summer 2027</w:t>
            </w:r>
          </w:p>
        </w:tc>
        <w:tc>
          <w:tcPr>
            <w:tcW w:type="dxa" w:w="2340"/>
          </w:tcPr>
          <w:p>
            <w:pPr>
              <w:spacing w:line="240" w:lineRule="auto" w:before="40" w:after="40"/>
            </w:pPr>
            <w:r>
              <w:rPr>
                <w:color w:val="000000"/>
                <w:sz w:val="20"/>
              </w:rPr>
            </w:r>
            <w:r>
              <w:rPr>
                <w:rFonts w:ascii="Arial" w:hAnsi="Arial" w:eastAsia="Arial" w:cs="Arial"/>
                <w:color w:val="000000"/>
                <w:sz w:val="20"/>
              </w:rPr>
              <w:t>No live page as of September 25, 2026 [VERIFY: GFL posting on careers.bcg.com]</w:t>
            </w:r>
          </w:p>
        </w:tc>
      </w:tr>
      <w:tr>
        <w:tc>
          <w:tcPr>
            <w:tcW w:type="dxa" w:w="2340"/>
          </w:tcPr>
          <w:p>
            <w:pPr>
              <w:spacing w:line="240" w:lineRule="auto" w:before="40" w:after="40"/>
            </w:pPr>
            <w:r>
              <w:rPr>
                <w:color w:val="000000"/>
                <w:sz w:val="20"/>
              </w:rPr>
            </w:r>
            <w:r>
              <w:rPr>
                <w:rFonts w:ascii="Arial" w:hAnsi="Arial" w:eastAsia="Arial" w:cs="Arial"/>
                <w:color w:val="000000"/>
                <w:sz w:val="20"/>
              </w:rPr>
              <w:t>Summer Associate (junior summer internship)</w:t>
            </w:r>
          </w:p>
        </w:tc>
        <w:tc>
          <w:tcPr>
            <w:tcW w:type="dxa" w:w="2340"/>
          </w:tcPr>
          <w:p>
            <w:pPr>
              <w:spacing w:line="240" w:lineRule="auto" w:before="40" w:after="40"/>
            </w:pPr>
            <w:r>
              <w:rPr>
                <w:color w:val="000000"/>
                <w:sz w:val="20"/>
              </w:rPr>
            </w:r>
            <w:r>
              <w:rPr>
                <w:rFonts w:ascii="Arial" w:hAnsi="Arial" w:eastAsia="Arial" w:cs="Arial"/>
                <w:color w:val="000000"/>
                <w:sz w:val="20"/>
              </w:rPr>
              <w:t>Expected first half of 2027, deadline around June 2027</w:t>
            </w:r>
          </w:p>
        </w:tc>
        <w:tc>
          <w:tcPr>
            <w:tcW w:type="dxa" w:w="2340"/>
          </w:tcPr>
          <w:p>
            <w:pPr>
              <w:spacing w:line="240" w:lineRule="auto" w:before="40" w:after="40"/>
            </w:pPr>
            <w:r>
              <w:rPr>
                <w:color w:val="000000"/>
                <w:sz w:val="20"/>
              </w:rPr>
            </w:r>
            <w:r>
              <w:rPr>
                <w:rFonts w:ascii="Arial" w:hAnsi="Arial" w:eastAsia="Arial" w:cs="Arial"/>
                <w:color w:val="000000"/>
                <w:sz w:val="20"/>
              </w:rPr>
              <w:t>Summer 2028</w:t>
            </w:r>
          </w:p>
        </w:tc>
        <w:tc>
          <w:tcPr>
            <w:tcW w:type="dxa" w:w="2340"/>
          </w:tcPr>
          <w:p>
            <w:pPr>
              <w:spacing w:line="240" w:lineRule="auto" w:before="40" w:after="40"/>
            </w:pPr>
            <w:r>
              <w:rPr>
                <w:color w:val="000000"/>
                <w:sz w:val="20"/>
              </w:rPr>
            </w:r>
            <w:r>
              <w:rPr>
                <w:rFonts w:ascii="Arial" w:hAnsi="Arial" w:eastAsia="Arial" w:cs="Arial"/>
                <w:color w:val="000000"/>
                <w:sz w:val="20"/>
              </w:rPr>
              <w:t>Not yet posted [VERIFY: Summer 2028 posting and deadline]</w:t>
            </w:r>
          </w:p>
        </w:tc>
      </w:tr>
      <w:tr>
        <w:tc>
          <w:tcPr>
            <w:tcW w:type="dxa" w:w="2340"/>
          </w:tcPr>
          <w:p>
            <w:pPr>
              <w:spacing w:line="240" w:lineRule="auto" w:before="40" w:after="40"/>
            </w:pPr>
            <w:r>
              <w:rPr>
                <w:color w:val="000000"/>
                <w:sz w:val="20"/>
              </w:rPr>
            </w:r>
            <w:r>
              <w:rPr>
                <w:rFonts w:ascii="Arial" w:hAnsi="Arial" w:eastAsia="Arial" w:cs="Arial"/>
                <w:color w:val="000000"/>
                <w:sz w:val="20"/>
              </w:rPr>
              <w:t>BCG Launch (virtual info series, not a job)</w:t>
            </w:r>
          </w:p>
        </w:tc>
        <w:tc>
          <w:tcPr>
            <w:tcW w:type="dxa" w:w="2340"/>
          </w:tcPr>
          <w:p>
            <w:pPr>
              <w:spacing w:line="240" w:lineRule="auto" w:before="40" w:after="40"/>
            </w:pPr>
            <w:r>
              <w:rPr>
                <w:color w:val="000000"/>
                <w:sz w:val="20"/>
              </w:rPr>
            </w:r>
            <w:r>
              <w:rPr>
                <w:rFonts w:ascii="Arial" w:hAnsi="Arial" w:eastAsia="Arial" w:cs="Arial"/>
                <w:color w:val="000000"/>
                <w:sz w:val="20"/>
              </w:rPr>
              <w:t>Registration opens about six weeks before sessions</w:t>
            </w:r>
          </w:p>
        </w:tc>
        <w:tc>
          <w:tcPr>
            <w:tcW w:type="dxa" w:w="2340"/>
          </w:tcPr>
          <w:p>
            <w:pPr>
              <w:spacing w:line="240" w:lineRule="auto" w:before="40" w:after="40"/>
            </w:pPr>
            <w:r>
              <w:rPr>
                <w:color w:val="000000"/>
                <w:sz w:val="20"/>
              </w:rPr>
            </w:r>
            <w:r>
              <w:rPr>
                <w:rFonts w:ascii="Arial" w:hAnsi="Arial" w:eastAsia="Arial" w:cs="Arial"/>
                <w:color w:val="000000"/>
                <w:sz w:val="20"/>
              </w:rPr>
              <w:t>Spring 2027</w:t>
            </w:r>
          </w:p>
        </w:tc>
        <w:tc>
          <w:tcPr>
            <w:tcW w:type="dxa" w:w="2340"/>
          </w:tcPr>
          <w:p>
            <w:pPr>
              <w:spacing w:line="240" w:lineRule="auto" w:before="40" w:after="40"/>
            </w:pPr>
            <w:r>
              <w:rPr>
                <w:color w:val="000000"/>
                <w:sz w:val="20"/>
              </w:rPr>
            </w:r>
            <w:r>
              <w:rPr>
                <w:rFonts w:ascii="Arial" w:hAnsi="Arial" w:eastAsia="Arial" w:cs="Arial"/>
                <w:color w:val="000000"/>
                <w:sz w:val="20"/>
              </w:rPr>
              <w:t>2026 portal closed May 29, 2026 [VERIFY: 2027 Launch dates]</w:t>
            </w:r>
          </w:p>
        </w:tc>
      </w:tr>
      <w:tr>
        <w:tc>
          <w:tcPr>
            <w:tcW w:type="dxa" w:w="2340"/>
          </w:tcPr>
          <w:p>
            <w:pPr>
              <w:spacing w:line="240" w:lineRule="auto" w:before="40" w:after="40"/>
            </w:pPr>
            <w:r>
              <w:rPr>
                <w:color w:val="000000"/>
                <w:sz w:val="20"/>
              </w:rPr>
            </w:r>
            <w:r>
              <w:rPr>
                <w:rFonts w:ascii="Arial" w:hAnsi="Arial" w:eastAsia="Arial" w:cs="Arial"/>
                <w:color w:val="000000"/>
                <w:sz w:val="20"/>
              </w:rPr>
              <w:t>BCG Embark (virtual conference inside Launch, for sophomores)</w:t>
            </w:r>
          </w:p>
        </w:tc>
        <w:tc>
          <w:tcPr>
            <w:tcW w:type="dxa" w:w="2340"/>
          </w:tcPr>
          <w:p>
            <w:pPr>
              <w:spacing w:line="240" w:lineRule="auto" w:before="40" w:after="40"/>
            </w:pPr>
            <w:r>
              <w:rPr>
                <w:color w:val="000000"/>
                <w:sz w:val="20"/>
              </w:rPr>
            </w:r>
            <w:r>
              <w:rPr>
                <w:rFonts w:ascii="Arial" w:hAnsi="Arial" w:eastAsia="Arial" w:cs="Arial"/>
                <w:color w:val="000000"/>
                <w:sz w:val="20"/>
              </w:rPr>
              <w:t>Register roughly a month before</w:t>
            </w:r>
          </w:p>
        </w:tc>
        <w:tc>
          <w:tcPr>
            <w:tcW w:type="dxa" w:w="2340"/>
          </w:tcPr>
          <w:p>
            <w:pPr>
              <w:spacing w:line="240" w:lineRule="auto" w:before="40" w:after="40"/>
            </w:pPr>
            <w:r>
              <w:rPr>
                <w:color w:val="000000"/>
                <w:sz w:val="20"/>
              </w:rPr>
            </w:r>
            <w:r>
              <w:rPr>
                <w:rFonts w:ascii="Arial" w:hAnsi="Arial" w:eastAsia="Arial" w:cs="Arial"/>
                <w:color w:val="000000"/>
                <w:sz w:val="20"/>
              </w:rPr>
              <w:t>Spring 2027</w:t>
            </w:r>
          </w:p>
        </w:tc>
        <w:tc>
          <w:tcPr>
            <w:tcW w:type="dxa" w:w="2340"/>
          </w:tcPr>
          <w:p>
            <w:pPr>
              <w:spacing w:line="240" w:lineRule="auto" w:before="40" w:after="40"/>
            </w:pPr>
            <w:r>
              <w:rPr>
                <w:color w:val="000000"/>
                <w:sz w:val="20"/>
              </w:rPr>
            </w:r>
            <w:r>
              <w:rPr>
                <w:rFonts w:ascii="Arial" w:hAnsi="Arial" w:eastAsia="Arial" w:cs="Arial"/>
                <w:color w:val="000000"/>
                <w:sz w:val="20"/>
              </w:rPr>
              <w:t>2026 event was May 14, register by April 15 [VERIFY: 2027 Embark dates and eligibility]</w:t>
            </w:r>
          </w:p>
        </w:tc>
      </w:tr>
    </w:tbl>
    <w:p>
      <w:pPr/>
    </w:p>
    <w:p>
      <w:pPr/>
      <w:r>
        <w:rPr>
          <w:rFonts w:ascii="Arial" w:hAnsi="Arial" w:eastAsia="Arial" w:cs="Arial"/>
          <w:b/>
        </w:rPr>
        <w:t>The Summer Associate deadline is the date to build your year around, because it's the one that's sure to exist.</w:t>
      </w:r>
    </w:p>
    <w:p>
      <w:pPr/>
    </w:p>
    <w:p>
      <w:pPr/>
      <w:r>
        <w:rPr>
          <w:rFonts w:ascii="Arial" w:hAnsi="Arial" w:eastAsia="Arial" w:cs="Arial"/>
        </w:rPr>
        <w:t>Two notes on the table. BCG Embark is new for 2026: a virtual conference for undergraduates who want to connect with BCG's Black@BCG, Latin@BCG and Indigenous@BCG networks, open to students of all backgrounds, and the 2026 version was for students graduating between December 2027 and July 2028, so it was aimed at that year's sophomores [VERIFY: Embark 2027 graduation range]. It isn't an internship and it isn't a job application. It's the clearest sign so far of what BCG means by "early engagement for sophomores."</w:t>
      </w:r>
    </w:p>
    <w:p>
      <w:pPr/>
    </w:p>
    <w:p>
      <w:pPr/>
      <w:r>
        <w:rPr>
          <w:rFonts w:ascii="Arial" w:hAnsi="Arial" w:eastAsia="Arial" w:cs="Arial"/>
          <w:b/>
        </w:rPr>
        <w:t>Freshmen have a full extra year, so run the same plan one cycle later.</w:t>
      </w:r>
      <w:r>
        <w:rPr>
          <w:rFonts w:ascii="Arial" w:hAnsi="Arial" w:eastAsia="Arial" w:cs="Arial"/>
        </w:rPr>
        <w:t xml:space="preserve"> Your GFL window, if the program continues, would be fall 2027 for Summer 2028, and your Summer Associate window would be spring 2028 [VERIFY: freshman-cycle dates once BCG posts them].</w:t>
      </w:r>
    </w:p>
    <w:p>
      <w:pPr/>
    </w:p>
    <w:p>
      <w:pPr>
        <w:pStyle w:val="Heading2"/>
      </w:pPr>
      <w:r>
        <w:rPr>
          <w:rFonts w:ascii="Arial" w:hAnsi="Arial" w:eastAsia="Arial" w:cs="Arial"/>
        </w:rPr>
        <w:t>The application, step by step</w:t>
      </w:r>
    </w:p>
    <w:p>
      <w:pPr/>
      <w:r>
        <w:rPr>
          <w:rFonts w:ascii="Arial" w:hAnsi="Arial" w:eastAsia="Arial" w:cs="Arial"/>
        </w:rPr>
        <w:t xml:space="preserve">BCG's US application for the Summer Associate role has four parts, all laid out on its </w:t>
      </w:r>
      <w:hyperlink r:id="rId9">
        <w:r>
          <w:rPr>
            <w:rFonts w:ascii="Arial" w:hAnsi="Arial" w:eastAsia="Arial" w:cs="Arial"/>
            <w:color w:val="0563C1"/>
            <w:u w:val="single"/>
          </w:rPr>
          <w:t xml:space="preserve">US Associate opportunities page</w:t>
        </w:r>
      </w:hyperlink>
      <w:r>
        <w:rPr>
          <w:rFonts w:ascii="Arial" w:hAnsi="Arial" w:eastAsia="Arial" w:cs="Arial"/>
        </w:rPr>
        <w:t>. GFL applications have followed the same shape with a transcript and test scores added. Here's each part in the order you'll hit it.</w:t>
      </w:r>
    </w:p>
    <w:p>
      <w:pPr/>
    </w:p>
    <w:p>
      <w:pPr/>
      <w:r>
        <w:rPr>
          <w:rFonts w:ascii="Arial" w:hAnsi="Arial" w:eastAsia="Arial" w:cs="Arial"/>
          <w:b/>
        </w:rPr>
        <w:t>1. Your BCG profile and resume.</w:t>
      </w:r>
      <w:r>
        <w:rPr>
          <w:rFonts w:ascii="Arial" w:hAnsi="Arial" w:eastAsia="Arial" w:cs="Arial"/>
        </w:rPr>
        <w:t xml:space="preserve"> You create a candidate profile, upload a one-page resume, and confirm your top two office preferences. BCG uses the latest preferences saved in your profile and asks you not to change them between applications in the same period, so pick your two offices once and keep them. Our </w:t>
      </w:r>
      <w:hyperlink r:id="rId10">
        <w:r>
          <w:rPr>
            <w:rFonts w:ascii="Arial" w:hAnsi="Arial" w:eastAsia="Arial" w:cs="Arial"/>
            <w:color w:val="0563C1"/>
            <w:u w:val="single"/>
          </w:rPr>
          <w:t xml:space="preserve">consulting resume guide</w:t>
        </w:r>
      </w:hyperlink>
      <w:r>
        <w:rPr>
          <w:rFonts w:ascii="Arial" w:hAnsi="Arial" w:eastAsia="Arial" w:cs="Arial"/>
        </w:rPr>
        <w:t xml:space="preserve"> covers the format BCG screeners expect. </w:t>
      </w:r>
      <w:r>
        <w:rPr>
          <w:rFonts w:ascii="Arial" w:hAnsi="Arial" w:eastAsia="Arial" w:cs="Arial"/>
          <w:b/>
        </w:rPr>
        <w:t>Every line on a BCG resume should show a result with a number in it, because numbers are what a screener remembers after a 30-second read.</w:t>
      </w:r>
      <w:r>
        <w:rPr>
          <w:rFonts w:ascii="Arial" w:hAnsi="Arial" w:eastAsia="Arial" w:cs="Arial"/>
        </w:rPr>
        <w:t xml:space="preserve"> "Led the marketing committee" says nothing. "Grew club membership from 40 to 110 in one semester by running a referral drive" tells the reader what you did and how well it worked.</w:t>
      </w:r>
    </w:p>
    <w:p>
      <w:pPr/>
    </w:p>
    <w:p>
      <w:pPr/>
      <w:r>
        <w:rPr>
          <w:rFonts w:ascii="Arial" w:hAnsi="Arial" w:eastAsia="Arial" w:cs="Arial"/>
          <w:b/>
        </w:rPr>
        <w:t>2. The cover letter.</w:t>
      </w:r>
      <w:r>
        <w:rPr>
          <w:rFonts w:ascii="Arial" w:hAnsi="Arial" w:eastAsia="Arial" w:cs="Arial"/>
        </w:rPr>
        <w:t xml:space="preserve"> BCG says cover letters "are not required" for Summer or Full-Time applications, and you can upload one under "Other Documents." I'd still write one if you've talked to someone at the firm. A short letter that names a BCGer in your first-choice office and one specific thing you learned from them is the only place on the application where networking shows up in writing.</w:t>
      </w:r>
    </w:p>
    <w:p>
      <w:pPr/>
    </w:p>
    <w:p>
      <w:pPr/>
      <w:r>
        <w:rPr>
          <w:rFonts w:ascii="Arial" w:hAnsi="Arial" w:eastAsia="Arial" w:cs="Arial"/>
          <w:b/>
        </w:rPr>
        <w:t>3. The Consulting Career Assessment (CCA).</w:t>
      </w:r>
      <w:r>
        <w:rPr>
          <w:rFonts w:ascii="Arial" w:hAnsi="Arial" w:eastAsia="Arial" w:cs="Arial"/>
        </w:rPr>
        <w:t xml:space="preserve"> This arrives by email 30 to 90 minutes after you submit, takes about 30 to 35 minutes, and must be finished within 48 hours [VERIFY: CCA timing on BCG's US Associate page]. The clock starts the moment you hit submit. It's a timed test with two kinds of questions: reasoning problems (numbers, logic, reading a short table) and work-style questions about how you'd handle situations on a team. The way to prepare is timed practice sets in the week before you apply. </w:t>
      </w:r>
      <w:r>
        <w:rPr>
          <w:rFonts w:ascii="Arial" w:hAnsi="Arial" w:eastAsia="Arial" w:cs="Arial"/>
          <w:b/>
        </w:rPr>
        <w:t>Do your BCG assessment prep before you apply, not after, because the invitation can land before you've closed your laptop.</w:t>
      </w:r>
      <w:r>
        <w:rPr>
          <w:rFonts w:ascii="Arial" w:hAnsi="Arial" w:eastAsia="Arial" w:cs="Arial"/>
        </w:rPr>
        <w:t xml:space="preserve"> Our </w:t>
      </w:r>
      <w:hyperlink r:id="rId11">
        <w:r>
          <w:rPr>
            <w:rFonts w:ascii="Arial" w:hAnsi="Arial" w:eastAsia="Arial" w:cs="Arial"/>
            <w:color w:val="0563C1"/>
            <w:u w:val="single"/>
          </w:rPr>
          <w:t xml:space="preserve">BCG online assessment guide</w:t>
        </w:r>
      </w:hyperlink>
      <w:r>
        <w:rPr>
          <w:rFonts w:ascii="Arial" w:hAnsi="Arial" w:eastAsia="Arial" w:cs="Arial"/>
        </w:rPr>
        <w:t xml:space="preserve"> breaks down what's inside it.</w:t>
      </w:r>
    </w:p>
    <w:p>
      <w:pPr/>
    </w:p>
    <w:p>
      <w:pPr/>
      <w:r>
        <w:rPr>
          <w:rFonts w:ascii="Arial" w:hAnsi="Arial" w:eastAsia="Arial" w:cs="Arial"/>
          <w:b/>
        </w:rPr>
        <w:t>4. The online case (Casey).</w:t>
      </w:r>
      <w:r>
        <w:rPr>
          <w:rFonts w:ascii="Arial" w:hAnsi="Arial" w:eastAsia="Arial" w:cs="Arial"/>
        </w:rPr>
        <w:t xml:space="preserve"> About two weeks after the deadline, a select group of applicants is invited to a roughly 35-minute online case. It's a chatbot called Casey that walks you through one business problem with a mix of multiple-choice, number-entry and short written answers, then asks you to record a short video recommendation. You get one attempt. Our </w:t>
      </w:r>
      <w:hyperlink r:id="rId12">
        <w:r>
          <w:rPr>
            <w:rFonts w:ascii="Arial" w:hAnsi="Arial" w:eastAsia="Arial" w:cs="Arial"/>
            <w:color w:val="0563C1"/>
            <w:u w:val="single"/>
          </w:rPr>
          <w:t xml:space="preserve">Casey chatbot guide</w:t>
        </w:r>
      </w:hyperlink>
      <w:r>
        <w:rPr>
          <w:rFonts w:ascii="Arial" w:hAnsi="Arial" w:eastAsia="Arial" w:cs="Arial"/>
        </w:rPr>
        <w:t xml:space="preserve"> covers each question type and how the written answers are read.</w:t>
      </w:r>
    </w:p>
    <w:p>
      <w:pPr/>
    </w:p>
    <w:p>
      <w:pPr/>
      <w:r>
        <w:rPr>
          <w:rFonts w:ascii="Arial" w:hAnsi="Arial" w:eastAsia="Arial" w:cs="Arial"/>
        </w:rPr>
        <w:t xml:space="preserve">One detail matters for anyone who applies to GFL first. BCG's page says candidates who have already taken the online case "will not be prompted to take it again" [VERIFY: whether a GFL-cycle online case or CCA carries into the Summer Associate cycle]. </w:t>
      </w:r>
      <w:r>
        <w:rPr>
          <w:rFonts w:ascii="Arial" w:hAnsi="Arial" w:eastAsia="Arial" w:cs="Arial"/>
          <w:b/>
        </w:rPr>
        <w:t>A rushed online case in September could be the score BCG sees the following June.</w:t>
      </w:r>
      <w:r>
        <w:rPr>
          <w:rFonts w:ascii="Arial" w:hAnsi="Arial" w:eastAsia="Arial" w:cs="Arial"/>
        </w:rPr>
        <w:t xml:space="preserve"> Leo did two weeks of timed practice before he submitted in the spring for the same reason: the score you post is the score BCG keeps.</w:t>
      </w:r>
    </w:p>
    <w:p>
      <w:pPr/>
    </w:p>
    <w:p>
      <w:pPr>
        <w:pStyle w:val="Heading2"/>
      </w:pPr>
      <w:r>
        <w:rPr>
          <w:rFonts w:ascii="Arial" w:hAnsi="Arial" w:eastAsia="Arial" w:cs="Arial"/>
        </w:rPr>
        <w:t>How BCG case interviews work</w:t>
      </w:r>
    </w:p>
    <w:p>
      <w:pPr/>
      <w:r>
        <w:rPr>
          <w:rFonts w:ascii="Arial" w:hAnsi="Arial" w:eastAsia="Arial" w:cs="Arial"/>
        </w:rPr>
        <w:t>Candidates who pass the assessments get two rounds of live interviews. The usual pattern at BCG is a first round of two interviews of about 45 minutes each with consultants or project leaders, then a final round of two more with principals or partners [VERIFY: current round structure]. BCG's titles run Associate, Consultant, Project Leader, Principal, Partner, so the final round puts you in front of the people who run cases and own the client relationships. Each interview mixes roughly 10 minutes of behavioral questions with a 30 to 35 minute case. BCG also says on its own prep page that "there isn't always a single right answer," and that how you approach the problem is what's graded.</w:t>
      </w:r>
    </w:p>
    <w:p>
      <w:pPr/>
    </w:p>
    <w:p>
      <w:pPr/>
      <w:r>
        <w:rPr>
          <w:rFonts w:ascii="Arial" w:hAnsi="Arial" w:eastAsia="Arial" w:cs="Arial"/>
        </w:rPr>
        <w:t xml:space="preserve">BCG runs candidate-led cases. McKinsey, where I interviewed, runs interviewer-led cases. </w:t>
      </w:r>
      <w:r>
        <w:rPr>
          <w:rFonts w:ascii="Arial" w:hAnsi="Arial" w:eastAsia="Arial" w:cs="Arial"/>
          <w:b/>
        </w:rPr>
        <w:t>The difference between the two formats is who decides what happens next in the case.</w:t>
      </w:r>
    </w:p>
    <w:p>
      <w:pPr/>
    </w:p>
    <w:p>
      <w:pPr/>
      <w:r>
        <w:rPr>
          <w:rFonts w:ascii="Arial" w:hAnsi="Arial" w:eastAsia="Arial" w:cs="Arial"/>
        </w:rPr>
        <w:t>Take this prompt: "Our client runs 200 car washes across the Southeast. Profit has fallen for two years. Why, and what should they do?"</w:t>
      </w:r>
    </w:p>
    <w:p>
      <w:pPr/>
    </w:p>
    <w:p>
      <w:pPr/>
      <w:r>
        <w:rPr>
          <w:rFonts w:ascii="Arial" w:hAnsi="Arial" w:eastAsia="Arial" w:cs="Arial"/>
          <w:b/>
        </w:rPr>
        <w:t>In an interviewer-led case</w:t>
      </w:r>
      <w:r>
        <w:rPr>
          <w:rFonts w:ascii="Arial" w:hAnsi="Arial" w:eastAsia="Arial" w:cs="Arial"/>
        </w:rPr>
        <w:t>, the interviewer steers. They ask for your structure, then hand you a chart of washes per site and say "calculate the change in revenue," then ask "what could explain that?", then ask for a recommendation. Each question is set in advance. Your job is to answer each one well.</w:t>
      </w:r>
    </w:p>
    <w:p>
      <w:pPr/>
    </w:p>
    <w:p>
      <w:pPr/>
      <w:r>
        <w:rPr>
          <w:rFonts w:ascii="Arial" w:hAnsi="Arial" w:eastAsia="Arial" w:cs="Arial"/>
          <w:b/>
        </w:rPr>
        <w:t>In a candidate-led case</w:t>
      </w:r>
      <w:r>
        <w:rPr>
          <w:rFonts w:ascii="Arial" w:hAnsi="Arial" w:eastAsia="Arial" w:cs="Arial"/>
        </w:rPr>
        <w:t>, you steer. After you lay out your structure, the interviewer waits for you to say where to go. So you say it out loud:</w:t>
      </w:r>
    </w:p>
    <w:p>
      <w:pPr/>
    </w:p>
    <w:p>
      <w:pPr>
        <w:pStyle w:val="ListNumber"/>
        <w:numPr>
          <w:ilvl w:val="0"/>
          <w:numId w:val="10"/>
        </w:numPr>
      </w:pPr>
      <w:r>
        <w:rPr>
          <w:rFonts w:ascii="Arial" w:hAnsi="Arial" w:eastAsia="Arial" w:cs="Arial"/>
          <w:b/>
        </w:rPr>
        <w:t>Split the problem.</w:t>
      </w:r>
      <w:r>
        <w:rPr>
          <w:rFonts w:ascii="Arial" w:hAnsi="Arial" w:eastAsia="Arial" w:cs="Arial"/>
        </w:rPr>
        <w:t xml:space="preserve"> Profit is revenue minus costs. Revenue is the number of washes times the price per wash. The number of washes is sites, times washes per site per day, times operating days. Costs are fixed (rent, equipment leases, salaried managers) plus variable costs per wash (water, chemicals, hourly labor). Then you pick a branch and say why: "Two years of falling profit at a chain that hasn't closed sites is usually a volume story, so I'd start with washes per site. Do we have that?"</w:t>
      </w:r>
    </w:p>
    <w:p>
      <w:pPr>
        <w:pStyle w:val="ListNumber"/>
        <w:numPr>
          <w:ilvl w:val="0"/>
          <w:numId w:val="10"/>
        </w:numPr>
      </w:pPr>
      <w:r>
        <w:rPr>
          <w:rFonts w:ascii="Arial" w:hAnsi="Arial" w:eastAsia="Arial" w:cs="Arial"/>
          <w:b/>
        </w:rPr>
        <w:t>Ask for the data you chose.</w:t>
      </w:r>
      <w:r>
        <w:rPr>
          <w:rFonts w:ascii="Arial" w:hAnsi="Arial" w:eastAsia="Arial" w:cs="Arial"/>
        </w:rPr>
        <w:t xml:space="preserve"> The interviewer tells you washes per site per day fell from 150 to 120, price held at $20, and the chain ran 350 days a year both years.</w:t>
      </w:r>
    </w:p>
    <w:p>
      <w:pPr>
        <w:pStyle w:val="ListNumber"/>
        <w:numPr>
          <w:ilvl w:val="0"/>
          <w:numId w:val="10"/>
        </w:numPr>
      </w:pPr>
      <w:r>
        <w:rPr>
          <w:rFonts w:ascii="Arial" w:hAnsi="Arial" w:eastAsia="Arial" w:cs="Arial"/>
          <w:b/>
        </w:rPr>
        <w:t>Do the math out loud.</w:t>
      </w:r>
      <w:r>
        <w:rPr>
          <w:rFonts w:ascii="Arial" w:hAnsi="Arial" w:eastAsia="Arial" w:cs="Arial"/>
        </w:rPr>
        <w:t xml:space="preserve"> Before: 200 sites times 150 washes is 30,000 washes a day. Times 350 days is 10.5 million washes a year. Times $20 is $210 million. After: 200 times 120 is 24,000 a day. Times 350 is 8.4 million. Times $20 is $168 million. Revenue fell $42 million, and 42 divided by 210 is 20 percent.</w:t>
      </w:r>
    </w:p>
    <w:p>
      <w:pPr>
        <w:pStyle w:val="ListNumber"/>
        <w:numPr>
          <w:ilvl w:val="0"/>
          <w:numId w:val="10"/>
        </w:numPr>
      </w:pPr>
      <w:r>
        <w:rPr>
          <w:rFonts w:ascii="Arial" w:hAnsi="Arial" w:eastAsia="Arial" w:cs="Arial"/>
          <w:b/>
        </w:rPr>
        <w:t>Say what it means, then pick the next branch.</w:t>
      </w:r>
      <w:r>
        <w:rPr>
          <w:rFonts w:ascii="Arial" w:hAnsi="Arial" w:eastAsia="Arial" w:cs="Arial"/>
        </w:rPr>
        <w:t xml:space="preserve"> "Revenue is down 20 percent purely on volume, since price didn't move. Before I look at costs, I want to know why people are washing less. Did a competitor open nearby, or did unlimited-wash subscriptions change how often customers come in?"</w:t>
      </w:r>
    </w:p>
    <w:p>
      <w:pPr/>
    </w:p>
    <w:p>
      <w:pPr/>
      <w:r>
        <w:rPr>
          <w:rFonts w:ascii="Arial" w:hAnsi="Arial" w:eastAsia="Arial" w:cs="Arial"/>
        </w:rPr>
        <w:t xml:space="preserve">Then comes the kind of quick math BCG likes to add. Say the CEO asks whether raising the price to $25 gets revenue back to $210 million. Work it: 8.4 million washes times $25 is $210 million. On paper, yes, exactly. Now the catch, in the same breath: that assumes nobody leaves after a 25 percent price increase, and the customers who already wash less are the ones most likely to leave. If even 10 percent of washes disappear, you're at 7.56 million washes times $25, which is $189 million, still below the old number. </w:t>
      </w:r>
      <w:r>
        <w:rPr>
          <w:rFonts w:ascii="Arial" w:hAnsi="Arial" w:eastAsia="Arial" w:cs="Arial"/>
          <w:b/>
        </w:rPr>
        <w:t>The candidate-led format tests whether you can choose the next step yourself and say why, so practice ending every piece of analysis with "here's what that means, and here's where I'd go next."</w:t>
      </w:r>
      <w:r>
        <w:rPr>
          <w:rFonts w:ascii="Arial" w:hAnsi="Arial" w:eastAsia="Arial" w:cs="Arial"/>
        </w:rPr>
        <w:t xml:space="preserve"> Candidates who go quiet and wait for the next question read as passive, even when their math is right.</w:t>
      </w:r>
    </w:p>
    <w:p>
      <w:pPr/>
    </w:p>
    <w:p>
      <w:pPr/>
      <w:r>
        <w:rPr>
          <w:rFonts w:ascii="Arial" w:hAnsi="Arial" w:eastAsia="Arial" w:cs="Arial"/>
        </w:rPr>
        <w:t xml:space="preserve">The behavioral part is shorter than McKinsey's but it still counts. Expect "why consulting," "why BCG," and one or two stories about leading a team or working through a hard problem. </w:t>
      </w:r>
      <w:r>
        <w:rPr>
          <w:rFonts w:ascii="Arial" w:hAnsi="Arial" w:eastAsia="Arial" w:cs="Arial"/>
          <w:b/>
        </w:rPr>
        <w:t>A strong "why BCG" answer names one specific thing you did or heard, not a ranking.</w:t>
      </w:r>
    </w:p>
    <w:p>
      <w:pPr/>
    </w:p>
    <w:p>
      <w:pPr/>
      <w:r>
        <w:rPr>
          <w:rFonts w:ascii="Arial" w:hAnsi="Arial" w:eastAsia="Arial" w:cs="Arial"/>
          <w:b/>
        </w:rPr>
        <w:t>Why BCG?</w:t>
      </w:r>
    </w:p>
    <w:p>
      <w:pPr/>
      <w:r>
        <w:rPr>
          <w:rFonts w:ascii="Arial" w:hAnsi="Arial" w:eastAsia="Arial" w:cs="Arial"/>
        </w:rPr>
        <w:t>Don't say: "BCG is a top-three firm with a great culture and interesting clients."</w:t>
      </w:r>
    </w:p>
    <w:p>
      <w:pPr/>
      <w:r>
        <w:rPr>
          <w:rFonts w:ascii="Arial" w:hAnsi="Arial" w:eastAsia="Arial" w:cs="Arial"/>
        </w:rPr>
        <w:t>Say: "I did the OneDay@BCG strategy simulation in October and then talked to an Associate in your Chicago office about a pricing case she'd worked on. The part that stuck with me was how much of her week was spent testing the client's own assumptions, and that's the work I want."</w:t>
      </w:r>
    </w:p>
    <w:p>
      <w:pPr/>
    </w:p>
    <w:p>
      <w:pPr/>
      <w:r>
        <w:rPr>
          <w:rFonts w:ascii="Arial" w:hAnsi="Arial" w:eastAsia="Arial" w:cs="Arial"/>
        </w:rPr>
        <w:t xml:space="preserve">Our </w:t>
      </w:r>
      <w:hyperlink r:id="rId13">
        <w:r>
          <w:rPr>
            <w:rFonts w:ascii="Arial" w:hAnsi="Arial" w:eastAsia="Arial" w:cs="Arial"/>
            <w:color w:val="0563C1"/>
            <w:u w:val="single"/>
          </w:rPr>
          <w:t xml:space="preserve">MBB guide</w:t>
        </w:r>
      </w:hyperlink>
      <w:r>
        <w:rPr>
          <w:rFonts w:ascii="Arial" w:hAnsi="Arial" w:eastAsia="Arial" w:cs="Arial"/>
        </w:rPr>
        <w:t xml:space="preserve"> covers the behavioral side across all three firms in more depth.</w:t>
      </w:r>
    </w:p>
    <w:p>
      <w:pPr/>
    </w:p>
    <w:p>
      <w:pPr>
        <w:pStyle w:val="Heading2"/>
      </w:pPr>
      <w:r>
        <w:rPr>
          <w:rFonts w:ascii="Arial" w:hAnsi="Arial" w:eastAsia="Arial" w:cs="Arial"/>
        </w:rPr>
        <w:t>A month-by-month prep plan</w:t>
      </w:r>
    </w:p>
    <w:p>
      <w:pPr/>
      <w:r>
        <w:rPr>
          <w:rFonts w:ascii="Arial" w:hAnsi="Arial" w:eastAsia="Arial" w:cs="Arial"/>
        </w:rPr>
        <w:t xml:space="preserve">This is the plan I gave Leo, adjusted for a sophomore graduating around 2029. </w:t>
      </w:r>
      <w:r>
        <w:rPr>
          <w:rFonts w:ascii="Arial" w:hAnsi="Arial" w:eastAsia="Arial" w:cs="Arial"/>
          <w:b/>
        </w:rPr>
        <w:t>Six to eight months of steady case practice is enough for most sophomores, as long as the live practice with a partner starts by January.</w:t>
      </w:r>
    </w:p>
    <w:p>
      <w:pPr/>
    </w:p>
    <w:p>
      <w:pPr>
        <w:pStyle w:val="ListBullet"/>
      </w:pPr>
      <w:r>
        <w:rPr>
          <w:rFonts w:ascii="Arial" w:hAnsi="Arial" w:eastAsia="Arial" w:cs="Arial"/>
          <w:b/>
        </w:rPr>
        <w:t>Late September to October 2026.</w:t>
      </w:r>
      <w:r>
        <w:rPr>
          <w:rFonts w:ascii="Arial" w:hAnsi="Arial" w:eastAsia="Arial" w:cs="Arial"/>
        </w:rPr>
        <w:t xml:space="preserve"> Check your school's BCG campus page for a GFL posting. Create your BCG candidate profile and pick your two offices. Rewrite your resume to one page with a number on every line. If GFL posts and you're eligible, do timed assessment practice for two weeks before you submit, since the CCA follows the application within hours.</w:t>
      </w:r>
    </w:p>
    <w:p>
      <w:pPr>
        <w:pStyle w:val="ListBullet"/>
      </w:pPr>
      <w:r>
        <w:rPr>
          <w:rFonts w:ascii="Arial" w:hAnsi="Arial" w:eastAsia="Arial" w:cs="Arial"/>
          <w:b/>
        </w:rPr>
        <w:t>November to December 2026.</w:t>
      </w:r>
      <w:r>
        <w:rPr>
          <w:rFonts w:ascii="Arial" w:hAnsi="Arial" w:eastAsia="Arial" w:cs="Arial"/>
        </w:rPr>
        <w:t xml:space="preserve"> Learn the basics. Read BCG's own </w:t>
      </w:r>
      <w:hyperlink r:id="rId14">
        <w:r>
          <w:rPr>
            <w:rFonts w:ascii="Arial" w:hAnsi="Arial" w:eastAsia="Arial" w:cs="Arial"/>
            <w:color w:val="0563C1"/>
            <w:u w:val="single"/>
          </w:rPr>
          <w:t xml:space="preserve">case interview preparation page</w:t>
        </w:r>
      </w:hyperlink>
      <w:r>
        <w:rPr>
          <w:rFonts w:ascii="Arial" w:hAnsi="Arial" w:eastAsia="Arial" w:cs="Arial"/>
        </w:rPr>
        <w:t xml:space="preserve"> and do the free </w:t>
      </w:r>
      <w:hyperlink r:id="rId15">
        <w:r>
          <w:rPr>
            <w:rFonts w:ascii="Arial" w:hAnsi="Arial" w:eastAsia="Arial" w:cs="Arial"/>
            <w:color w:val="0563C1"/>
            <w:u w:val="single"/>
          </w:rPr>
          <w:t xml:space="preserve">OneDay@BCG</w:t>
        </w:r>
      </w:hyperlink>
      <w:r>
        <w:rPr>
          <w:rFonts w:ascii="Arial" w:hAnsi="Arial" w:eastAsia="Arial" w:cs="Arial"/>
        </w:rPr>
        <w:t xml:space="preserve"> strategy simulation, which BCG links from its careers site. Do 10 minutes of mental math every day: percentages, dividing by 12 or by 350, multiplying numbers in the thousands by numbers in the hundreds. The car wash math above should feel automatic by New Year's.</w:t>
      </w:r>
    </w:p>
    <w:p>
      <w:pPr>
        <w:pStyle w:val="ListBullet"/>
      </w:pPr>
      <w:r>
        <w:rPr>
          <w:rFonts w:ascii="Arial" w:hAnsi="Arial" w:eastAsia="Arial" w:cs="Arial"/>
          <w:b/>
        </w:rPr>
        <w:t>January to February 2027.</w:t>
      </w:r>
      <w:r>
        <w:rPr>
          <w:rFonts w:ascii="Arial" w:hAnsi="Arial" w:eastAsia="Arial" w:cs="Arial"/>
        </w:rPr>
        <w:t xml:space="preserve"> Start live cases with a partner, two or three a week. Practice leading: after every piece of data, say the "so what" and your next step. Set up your first coffee chats (more on this below). Check the McKinsey and Bain sophomore program pages too, because their deadlines fall in this window in some years [VERIFY: Bain BEL and CREW 2027 dates].</w:t>
      </w:r>
    </w:p>
    <w:p>
      <w:pPr>
        <w:pStyle w:val="ListBullet"/>
      </w:pPr>
      <w:r>
        <w:rPr>
          <w:rFonts w:ascii="Arial" w:hAnsi="Arial" w:eastAsia="Arial" w:cs="Arial"/>
          <w:b/>
        </w:rPr>
        <w:t>March to April 2027.</w:t>
      </w:r>
      <w:r>
        <w:rPr>
          <w:rFonts w:ascii="Arial" w:hAnsi="Arial" w:eastAsia="Arial" w:cs="Arial"/>
        </w:rPr>
        <w:t xml:space="preserve"> Register for BCG Launch and Embark when their portals open. Practice timed online cases so the Casey format isn't new. Finalize your resume and, if you're writing one, your cover letter.</w:t>
      </w:r>
    </w:p>
    <w:p>
      <w:pPr>
        <w:pStyle w:val="ListBullet"/>
      </w:pPr>
      <w:r>
        <w:rPr>
          <w:rFonts w:ascii="Arial" w:hAnsi="Arial" w:eastAsia="Arial" w:cs="Arial"/>
          <w:b/>
        </w:rPr>
        <w:t>May to June 2027.</w:t>
      </w:r>
      <w:r>
        <w:rPr>
          <w:rFonts w:ascii="Arial" w:hAnsi="Arial" w:eastAsia="Arial" w:cs="Arial"/>
        </w:rPr>
        <w:t xml:space="preserve"> Submit the Summer Associate application early rather than on deadline day, with a clear 48 hours set aside for the CCA [VERIFY: 2027 deadline]. Keep casing while you wait for the online case invite.</w:t>
      </w:r>
    </w:p>
    <w:p>
      <w:pPr>
        <w:pStyle w:val="ListBullet"/>
      </w:pPr>
      <w:r>
        <w:rPr>
          <w:rFonts w:ascii="Arial" w:hAnsi="Arial" w:eastAsia="Arial" w:cs="Arial"/>
          <w:b/>
        </w:rPr>
        <w:t>Summer 2027.</w:t>
      </w:r>
      <w:r>
        <w:rPr>
          <w:rFonts w:ascii="Arial" w:hAnsi="Arial" w:eastAsia="Arial" w:cs="Arial"/>
        </w:rPr>
        <w:t xml:space="preserve"> First and final rounds. If you get the offer, you intern in Summer 2028.</w:t>
      </w:r>
    </w:p>
    <w:p>
      <w:pPr/>
    </w:p>
    <w:p>
      <w:pPr/>
      <w:r>
        <w:rPr>
          <w:rFonts w:ascii="Arial" w:hAnsi="Arial" w:eastAsia="Arial" w:cs="Arial"/>
          <w:b/>
        </w:rPr>
        <w:t>Live case practice with another person matters more than any book, because a candidate-led case is a conversation you have to lead out loud.</w:t>
      </w:r>
      <w:r>
        <w:rPr>
          <w:rFonts w:ascii="Arial" w:hAnsi="Arial" w:eastAsia="Arial" w:cs="Arial"/>
        </w:rPr>
        <w:t xml:space="preserve"> Reading about structure teaches you what a good structure looks like. Only a partner across the table teaches you to build one while someone waits.</w:t>
      </w:r>
    </w:p>
    <w:p>
      <w:pPr/>
    </w:p>
    <w:p>
      <w:pPr>
        <w:pStyle w:val="Heading2"/>
      </w:pPr>
      <w:r>
        <w:rPr>
          <w:rFonts w:ascii="Arial" w:hAnsi="Arial" w:eastAsia="Arial" w:cs="Arial"/>
        </w:rPr>
        <w:t>Networking at BCG specifically</w:t>
      </w:r>
    </w:p>
    <w:p>
      <w:pPr/>
      <w:r>
        <w:rPr>
          <w:rFonts w:ascii="Arial" w:hAnsi="Arial" w:eastAsia="Arial" w:cs="Arial"/>
        </w:rPr>
        <w:t xml:space="preserve">BCG doesn't publish a networking requirement, and cover letters are optional, so there's no formal referral box to check. But BCG's campus pages are built for exactly this. </w:t>
      </w:r>
      <w:r>
        <w:rPr>
          <w:rFonts w:ascii="Arial" w:hAnsi="Arial" w:eastAsia="Arial" w:cs="Arial"/>
          <w:b/>
        </w:rPr>
        <w:t>Your school's BCG campus page is the first place to start, because it's where BCG tells students at your school how it wants to be reached.</w:t>
      </w:r>
      <w:r>
        <w:rPr>
          <w:rFonts w:ascii="Arial" w:hAnsi="Arial" w:eastAsia="Arial" w:cs="Arial"/>
        </w:rPr>
        <w:t xml:space="preserve"> BCG's </w:t>
      </w:r>
      <w:hyperlink r:id="rId16">
        <w:r>
          <w:rPr>
            <w:rFonts w:ascii="Arial" w:hAnsi="Arial" w:eastAsia="Arial" w:cs="Arial"/>
            <w:color w:val="0563C1"/>
            <w:u w:val="single"/>
          </w:rPr>
          <w:t xml:space="preserve">campus recruiting page</w:t>
        </w:r>
      </w:hyperlink>
      <w:r>
        <w:rPr>
          <w:rFonts w:ascii="Arial" w:hAnsi="Arial" w:eastAsia="Arial" w:cs="Arial"/>
        </w:rPr>
        <w:t xml:space="preserve"> links to dozens of US school pages, from Brigham Young to Yale [VERIFY: current school list on BCG's on-campus page], plus pages for Historically Black Colleges and Universities and the NESCAC schools. Some school pages name the campus recruiter. Others give the Associate recruiting team's email and a link to join BCG's talent community for event announcements.</w:t>
      </w:r>
    </w:p>
    <w:p>
      <w:pPr/>
    </w:p>
    <w:p>
      <w:pPr/>
      <w:r>
        <w:rPr>
          <w:rFonts w:ascii="Arial" w:hAnsi="Arial" w:eastAsia="Arial" w:cs="Arial"/>
        </w:rPr>
        <w:t>From there:</w:t>
      </w:r>
    </w:p>
    <w:p>
      <w:pPr/>
    </w:p>
    <w:p>
      <w:pPr>
        <w:pStyle w:val="ListBullet"/>
      </w:pPr>
      <w:r>
        <w:rPr>
          <w:rFonts w:ascii="Arial" w:hAnsi="Arial" w:eastAsia="Arial" w:cs="Arial"/>
          <w:b/>
        </w:rPr>
        <w:t>Go to BCG Launch, and Embark if you qualify.</w:t>
      </w:r>
      <w:r>
        <w:rPr>
          <w:rFonts w:ascii="Arial" w:hAnsi="Arial" w:eastAsia="Arial" w:cs="Arial"/>
        </w:rPr>
        <w:t xml:space="preserve"> Launch is a virtual series open to undergraduates at US and Canadian schools, covering consulting basics, the Associate application and life at BCG. Embark is the sophomore conference inside it. Neither is a job application, and BCG says missing a session won't count against you. What they give you is real material for "why BCG."</w:t>
      </w:r>
    </w:p>
    <w:p>
      <w:pPr>
        <w:pStyle w:val="ListBullet"/>
      </w:pPr>
      <w:r>
        <w:rPr>
          <w:rFonts w:ascii="Arial" w:hAnsi="Arial" w:eastAsia="Arial" w:cs="Arial"/>
          <w:b/>
        </w:rPr>
        <w:t>Talk to people in your two offices.</w:t>
      </w:r>
      <w:r>
        <w:rPr>
          <w:rFonts w:ascii="Arial" w:hAnsi="Arial" w:eastAsia="Arial" w:cs="Arial"/>
        </w:rPr>
        <w:t xml:space="preserve"> BCG asks for two office preferences so it knows where you want to work, so a Chicago-first applicant should be talking to Chicago BCGers. </w:t>
      </w:r>
      <w:r>
        <w:rPr>
          <w:rFonts w:ascii="Arial" w:hAnsi="Arial" w:eastAsia="Arial" w:cs="Arial"/>
          <w:b/>
        </w:rPr>
        <w:t>Network in the two offices you list on your application before anywhere else.</w:t>
      </w:r>
      <w:r>
        <w:rPr>
          <w:rFonts w:ascii="Arial" w:hAnsi="Arial" w:eastAsia="Arial" w:cs="Arial"/>
        </w:rPr>
        <w:t xml:space="preserve"> Find alumni from your school on LinkedIn, ask for 15 minutes, and ask about the work, not the process.</w:t>
      </w:r>
    </w:p>
    <w:p>
      <w:pPr>
        <w:pStyle w:val="ListBullet"/>
      </w:pPr>
      <w:r>
        <w:rPr>
          <w:rFonts w:ascii="Arial" w:hAnsi="Arial" w:eastAsia="Arial" w:cs="Arial"/>
          <w:b/>
        </w:rPr>
        <w:t>Keep it small.</w:t>
      </w:r>
      <w:r>
        <w:rPr>
          <w:rFonts w:ascii="Arial" w:hAnsi="Arial" w:eastAsia="Arial" w:cs="Arial"/>
        </w:rPr>
        <w:t xml:space="preserve"> Two or three good conversations per office beat a dozen rushed ones. Write down one specific thing each person told you, because that's what goes into your "why BCG" answer and your cover letter.</w:t>
      </w:r>
    </w:p>
    <w:p>
      <w:pPr/>
    </w:p>
    <w:p>
      <w:pPr/>
      <w:r>
        <w:rPr>
          <w:rFonts w:ascii="Arial" w:hAnsi="Arial" w:eastAsia="Arial" w:cs="Arial"/>
        </w:rPr>
        <w:t xml:space="preserve">For the full cross-firm calendar, our </w:t>
      </w:r>
      <w:hyperlink r:id="rId17">
        <w:r>
          <w:rPr>
            <w:rFonts w:ascii="Arial" w:hAnsi="Arial" w:eastAsia="Arial" w:cs="Arial"/>
            <w:color w:val="0563C1"/>
            <w:u w:val="single"/>
          </w:rPr>
          <w:t xml:space="preserve">consulting recruiting timeline</w:t>
        </w:r>
      </w:hyperlink>
      <w:r>
        <w:rPr>
          <w:rFonts w:ascii="Arial" w:hAnsi="Arial" w:eastAsia="Arial" w:cs="Arial"/>
        </w:rPr>
        <w:t xml:space="preserve"> lays out MBB deadlines side by side.</w:t>
      </w:r>
    </w:p>
    <w:p>
      <w:pPr/>
    </w:p>
    <w:p>
      <w:pPr>
        <w:pStyle w:val="Heading2"/>
      </w:pPr>
      <w:r>
        <w:rPr>
          <w:rFonts w:ascii="Arial" w:hAnsi="Arial" w:eastAsia="Arial" w:cs="Arial"/>
        </w:rPr>
        <w:t>What to do if you don't get it</w:t>
      </w:r>
    </w:p>
    <w:p>
      <w:pPr/>
      <w:r>
        <w:rPr>
          <w:rFonts w:ascii="Arial" w:hAnsi="Arial" w:eastAsia="Arial" w:cs="Arial"/>
          <w:b/>
        </w:rPr>
        <w:t>Missing GFL or the first BCG round is a timing problem, not a verdict.</w:t>
      </w:r>
      <w:r>
        <w:rPr>
          <w:rFonts w:ascii="Arial" w:hAnsi="Arial" w:eastAsia="Arial" w:cs="Arial"/>
        </w:rPr>
        <w:t xml:space="preserve"> Consulting has more doors for sophomores than most people check, and none of them close the BCG door for junior year.</w:t>
      </w:r>
    </w:p>
    <w:p>
      <w:pPr/>
    </w:p>
    <w:p>
      <w:pPr>
        <w:pStyle w:val="ListBullet"/>
      </w:pPr>
      <w:r>
        <w:rPr>
          <w:rFonts w:ascii="Arial" w:hAnsi="Arial" w:eastAsia="Arial" w:cs="Arial"/>
          <w:b/>
        </w:rPr>
        <w:t>McKinsey Sophomore Summer Business Analyst (SSBA).</w:t>
      </w:r>
      <w:r>
        <w:rPr>
          <w:rFonts w:ascii="Arial" w:hAnsi="Arial" w:eastAsia="Arial" w:cs="Arial"/>
        </w:rPr>
        <w:t xml:space="preserve"> A roughly 10-week paid internship in a US or Canadian office. In the last confirmed cycle, applications opened May 1 and closed June 10, 2025, for the Class of 2028 [VERIFY: Summer 2027 SSBA posting and deadline]. Eligibility has been written for students from specific underrepresented backgrounds, and the program has skipped a cycle before, so check McKinsey's application deadlines page rather than a prep site.</w:t>
      </w:r>
    </w:p>
    <w:p>
      <w:pPr>
        <w:pStyle w:val="ListBullet"/>
      </w:pPr>
      <w:r>
        <w:rPr>
          <w:rFonts w:ascii="Arial" w:hAnsi="Arial" w:eastAsia="Arial" w:cs="Arial"/>
          <w:b/>
        </w:rPr>
        <w:t>Bain Building Entrepreneurial Leaders (BEL).</w:t>
      </w:r>
      <w:r>
        <w:rPr>
          <w:rFonts w:ascii="Arial" w:hAnsi="Arial" w:eastAsia="Arial" w:cs="Arial"/>
        </w:rPr>
        <w:t xml:space="preserve"> Not an internship. It's a short exploratory program Bain has run since 2009 [VERIFY: BEL founding year on Bain's BEL page], run through US offices from Atlanta to Washington, DC. Bain's page says the 2026 program is closed and to check back for 2027 [VERIFY: 2027 BEL dates on Bain's BEL page].</w:t>
      </w:r>
    </w:p>
    <w:p>
      <w:pPr>
        <w:pStyle w:val="ListBullet"/>
      </w:pPr>
      <w:r>
        <w:rPr>
          <w:rFonts w:ascii="Arial" w:hAnsi="Arial" w:eastAsia="Arial" w:cs="Arial"/>
          <w:b/>
        </w:rPr>
        <w:t>Bain CREW.</w:t>
      </w:r>
      <w:r>
        <w:rPr>
          <w:rFonts w:ascii="Arial" w:hAnsi="Arial" w:eastAsia="Arial" w:cs="Arial"/>
        </w:rPr>
        <w:t xml:space="preserve"> A leadership program for sophomore women, about a day and a half in February, with a fall application [VERIFY: 2027 CREW dates].</w:t>
      </w:r>
    </w:p>
    <w:p>
      <w:pPr>
        <w:pStyle w:val="ListBullet"/>
      </w:pPr>
      <w:r>
        <w:rPr>
          <w:rFonts w:ascii="Arial" w:hAnsi="Arial" w:eastAsia="Arial" w:cs="Arial"/>
          <w:b/>
        </w:rPr>
        <w:t>Tier 2 and boutique firms.</w:t>
      </w:r>
      <w:r>
        <w:rPr>
          <w:rFonts w:ascii="Arial" w:hAnsi="Arial" w:eastAsia="Arial" w:cs="Arial"/>
        </w:rPr>
        <w:t xml:space="preserve"> Oliver Wyman, L.E.K., Kearney and healthcare boutiques like ZS run their own internships, often later and on rolling timelines. Our list of </w:t>
      </w:r>
      <w:hyperlink r:id="rId18">
        <w:r>
          <w:rPr>
            <w:rFonts w:ascii="Arial" w:hAnsi="Arial" w:eastAsia="Arial" w:cs="Arial"/>
            <w:color w:val="0563C1"/>
            <w:u w:val="single"/>
          </w:rPr>
          <w:t xml:space="preserve">15 consulting internships for undergraduates</w:t>
        </w:r>
      </w:hyperlink>
      <w:r>
        <w:rPr>
          <w:rFonts w:ascii="Arial" w:hAnsi="Arial" w:eastAsia="Arial" w:cs="Arial"/>
        </w:rPr>
        <w:t xml:space="preserve"> covers deadlines and fit.</w:t>
      </w:r>
    </w:p>
    <w:p>
      <w:pPr/>
    </w:p>
    <w:p>
      <w:pPr/>
      <w:r>
        <w:rPr>
          <w:rFonts w:ascii="Arial" w:hAnsi="Arial" w:eastAsia="Arial" w:cs="Arial"/>
        </w:rPr>
        <w:t xml:space="preserve">Two BCG programs don't belong on this list. </w:t>
      </w:r>
      <w:r>
        <w:rPr>
          <w:rFonts w:ascii="Arial" w:hAnsi="Arial" w:eastAsia="Arial" w:cs="Arial"/>
          <w:b/>
        </w:rPr>
        <w:t>Bridge to BCG is for PhDs, MDs, JDs, postdocs and medical residents, not undergraduates</w:t>
      </w:r>
      <w:r>
        <w:rPr>
          <w:rFonts w:ascii="Arial" w:hAnsi="Arial" w:eastAsia="Arial" w:cs="Arial"/>
        </w:rPr>
        <w:t>, and BCG Advance now only takes juniors [VERIFY: BCG Advance eligibility for 2027].</w:t>
      </w:r>
    </w:p>
    <w:p>
      <w:pPr/>
    </w:p>
    <w:p>
      <w:pPr/>
      <w:r>
        <w:rPr>
          <w:rFonts w:ascii="Arial" w:hAnsi="Arial" w:eastAsia="Arial" w:cs="Arial"/>
        </w:rPr>
        <w:t>If you miss BCG's Summer Associate round in 2027, tier 2 and Big 4 strategy firms often recruit later for the same Summer 2028. A strong junior-summer internship at one of them puts you in a good spot when BCG opens full-time Associate applications for your class [VERIFY: BCG full-time timeline for students graduating in 2029].</w:t>
      </w:r>
    </w:p>
    <w:p>
      <w:pPr/>
    </w:p>
    <w:p>
      <w:pPr>
        <w:pStyle w:val="Heading2"/>
      </w:pPr>
      <w:r>
        <w:rPr>
          <w:rFonts w:ascii="Arial" w:hAnsi="Arial" w:eastAsia="Arial" w:cs="Arial"/>
        </w:rPr>
        <w:t>How the BCG sophomore internship converts</w:t>
      </w:r>
    </w:p>
    <w:p>
      <w:pPr/>
      <w:r>
        <w:rPr>
          <w:rFonts w:ascii="Arial" w:hAnsi="Arial" w:eastAsia="Arial" w:cs="Arial"/>
          <w:b/>
        </w:rPr>
        <w:t>Each step at BCG is an audition for the next one, and the chain runs GFL to Summer Associate to full-time Associate.</w:t>
      </w:r>
      <w:r>
        <w:rPr>
          <w:rFonts w:ascii="Arial" w:hAnsi="Arial" w:eastAsia="Arial" w:cs="Arial"/>
        </w:rPr>
        <w:t xml:space="preserve"> GFL, in BCG's words, makes you eligible for a junior-year internship offer. The Summer Associate internship ends with a decision on a full-time Associate offer for after graduation. BCG doesn't publish conversion rates for either step, so treat any percentage you see online as a guess.</w:t>
      </w:r>
    </w:p>
    <w:p>
      <w:pPr/>
    </w:p>
    <w:p>
      <w:pPr/>
      <w:r>
        <w:rPr>
          <w:rFonts w:ascii="Arial" w:hAnsi="Arial" w:eastAsia="Arial" w:cs="Arial"/>
        </w:rPr>
        <w:t xml:space="preserve">What drives the decision isn't mysterious. Your case team watches how you structure a problem, how fast you pick up feedback, and whether your project leader trusted your work enough to put it in front of the client. Most MBB internships run a formal midpoint review and a final review, and the offer decision leans on what your project leader and the partner on your case say in that final one. </w:t>
      </w:r>
      <w:r>
        <w:rPr>
          <w:rFonts w:ascii="Arial" w:hAnsi="Arial" w:eastAsia="Arial" w:cs="Arial"/>
          <w:b/>
        </w:rPr>
        <w:t>The interns who convert ask for feedback at the midpoint and visibly act on it in the second half of the summer.</w:t>
      </w:r>
      <w:r>
        <w:rPr>
          <w:rFonts w:ascii="Arial" w:hAnsi="Arial" w:eastAsia="Arial" w:cs="Arial"/>
        </w:rPr>
        <w:t xml:space="preserve"> The ones who don't usually made the same mistake twice after being told once.</w:t>
      </w:r>
    </w:p>
    <w:p>
      <w:pPr/>
    </w:p>
    <w:p>
      <w:pPr>
        <w:pStyle w:val="Heading2"/>
      </w:pPr>
      <w:r>
        <w:rPr>
          <w:rFonts w:ascii="Arial" w:hAnsi="Arial" w:eastAsia="Arial" w:cs="Arial"/>
        </w:rPr>
        <w:t>Where to start this week</w:t>
      </w:r>
    </w:p>
    <w:p>
      <w:pPr/>
      <w:r>
        <w:rPr>
          <w:rFonts w:ascii="Arial" w:hAnsi="Arial" w:eastAsia="Arial" w:cs="Arial"/>
        </w:rPr>
        <w:t xml:space="preserve">If you're a sophomore, open your school's BCG campus page today, create your profile, and check whether GFL has posted. </w:t>
      </w:r>
      <w:r>
        <w:rPr>
          <w:rFonts w:ascii="Arial" w:hAnsi="Arial" w:eastAsia="Arial" w:cs="Arial"/>
          <w:b/>
        </w:rPr>
        <w:t>Put the Summer Associate deadline on your calendar now and plan every month backward from it.</w:t>
      </w:r>
    </w:p>
    <w:p>
      <w:pPr/>
    </w:p>
    <w:p>
      <w:pPr/>
      <w:r>
        <w:rPr>
          <w:rFonts w:ascii="Arial" w:hAnsi="Arial" w:eastAsia="Arial" w:cs="Arial"/>
        </w:rPr>
        <w:t xml:space="preserve">Leo's call took ten minutes. He wasn't eligible for the program he'd been told about, so he built his year around the application every sophomore can make. </w:t>
      </w:r>
      <w:r>
        <w:rPr>
          <w:rFonts w:ascii="Arial" w:hAnsi="Arial" w:eastAsia="Arial" w:cs="Arial"/>
          <w:b/>
        </w:rPr>
        <w:t>Building the year around the Summer Associate deadline works whether or not GFL opens this fall, and it's the order I'd give any sophomore aiming at BCG.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eers.bcg.com/global/en/on-campus/united-states-associate-job-opportunities" TargetMode="External"/><Relationship Id="rId10" Type="http://schemas.openxmlformats.org/officeDocument/2006/relationships/hyperlink" Target="https://www.wallstreetguide.net/post/how-to-build-a-consulting-resume-that-gets-interviews-checklist-examples" TargetMode="External"/><Relationship Id="rId11" Type="http://schemas.openxmlformats.org/officeDocument/2006/relationships/hyperlink" Target="https://www.wallstreetguide.net/post/bcg-online-assessment-guide" TargetMode="External"/><Relationship Id="rId12" Type="http://schemas.openxmlformats.org/officeDocument/2006/relationships/hyperlink" Target="https://www.wallstreetguide.net/post/the-ultimate-guide-to-the-bcg-casey-chatbot-interview" TargetMode="External"/><Relationship Id="rId13" Type="http://schemas.openxmlformats.org/officeDocument/2006/relationships/hyperlink" Target="https://www.wallstreetguide.net/post/the-ultimate-guide-on-how-to-break-into-mbb" TargetMode="External"/><Relationship Id="rId14" Type="http://schemas.openxmlformats.org/officeDocument/2006/relationships/hyperlink" Target="https://careers.bcg.com/global/en/case-interview-preparation" TargetMode="External"/><Relationship Id="rId15" Type="http://schemas.openxmlformats.org/officeDocument/2006/relationships/hyperlink" Target="https://careers.bcg.com/global/en/virtual-experience" TargetMode="External"/><Relationship Id="rId16" Type="http://schemas.openxmlformats.org/officeDocument/2006/relationships/hyperlink" Target="https://careers.bcg.com/global/en/on-campus" TargetMode="External"/><Relationship Id="rId17" Type="http://schemas.openxmlformats.org/officeDocument/2006/relationships/hyperlink" Target="https://www.wallstreetguide.net/post/consulting-recruiting-timeline-for-undergrads-in-2026" TargetMode="External"/><Relationship Id="rId18" Type="http://schemas.openxmlformats.org/officeDocument/2006/relationships/hyperlink" Target="https://www.wallstreetguide.net/post/15-best-consulting-internships-for-undergraduates-and-how-to-land-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Get the BCG Sophomore Internship</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