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Investment Banking Analyst Salary 2027: What You Actually Take Home</w:t>
      </w:r>
    </w:p>
    <w:p>
      <w:pPr/>
      <w:r>
        <w:rPr>
          <w:rFonts w:ascii="Arial" w:hAnsi="Arial" w:eastAsia="Arial" w:cs="Arial"/>
          <w:b/>
        </w:rPr>
        <w:t>Meta description:</w:t>
      </w:r>
      <w:r>
        <w:rPr>
          <w:rFonts w:ascii="Arial" w:hAnsi="Arial" w:eastAsia="Arial" w:cs="Arial"/>
        </w:rPr>
        <w:t xml:space="preserve"> WSG founder Stephen Turban works the 2027 investment banking analyst salary from offer letter to bank account: base, bonus, every tax line, what's left.</w:t>
      </w:r>
    </w:p>
    <w:p>
      <w:pPr/>
    </w:p>
    <w:p>
      <w:pPr/>
      <w:r>
        <w:rPr>
          <w:rFonts w:ascii="Arial" w:hAnsi="Arial" w:eastAsia="Arial" w:cs="Arial"/>
        </w:rPr>
        <w:t>A first-year analyst in New York earning $200,000 all-in keeps $130,282 of it. The other $69,718 goes to the IRS, Social Security, Medicare, New York State and New York City before it reaches a checking account [VERIFY: script-checked on the 2026 federal, New York State and New York City rules laid out in this article; refresh when the 2027 brackets publish]. Every investment banking analyst salary conversation I have with students starts from the gross number. Nobody has shown them the net.</w:t>
      </w:r>
    </w:p>
    <w:p>
      <w:pPr/>
    </w:p>
    <w:p>
      <w:pPr/>
      <w:r>
        <w:rPr>
          <w:rFonts w:ascii="Arial" w:hAnsi="Arial" w:eastAsia="Arial" w:cs="Arial"/>
        </w:rPr>
        <w:t>I'm Stephen Turban, founder of WallStreetGuide. I went to Harvard and then McKinsey, not a bank, and what I do now is watch undergrads go through banking recruiting every cycle, including the week the offer letter arrives and the pay becomes real. That is usually when the questions change from "what's the bonus like" to "wait, why is my first paycheck $2,950."</w:t>
      </w:r>
    </w:p>
    <w:p>
      <w:pPr/>
    </w:p>
    <w:p>
      <w:pPr/>
      <w:r>
        <w:rPr>
          <w:rFonts w:ascii="Arial" w:hAnsi="Arial" w:eastAsia="Arial" w:cs="Arial"/>
        </w:rPr>
        <w:t>This guide does the whole thing in order: the five pieces of the pay stack, base salary by bank tier, how bonuses get decided, the full tax math on one New York analyst line by line, the same gross in four cities, a monthly budget, what changes in years two and three, and what will actually move the numbers for the class that starts in summer 2027.</w:t>
      </w:r>
    </w:p>
    <w:p>
      <w:pPr/>
    </w:p>
    <w:p>
      <w:pPr>
        <w:pStyle w:val="Heading2"/>
      </w:pPr>
      <w:r>
        <w:rPr>
          <w:rFonts w:ascii="Arial" w:hAnsi="Arial" w:eastAsia="Arial" w:cs="Arial"/>
        </w:rPr>
        <w:t>How much does a first-year investment banking analyst make?</w:t>
      </w:r>
    </w:p>
    <w:p>
      <w:pPr/>
      <w:r>
        <w:rPr>
          <w:rFonts w:ascii="Arial" w:hAnsi="Arial" w:eastAsia="Arial" w:cs="Arial"/>
        </w:rPr>
        <w:t xml:space="preserve">At a bulge bracket bank in New York, a first-year analyst earns a $110,000 base salary, and the first-year bonuses paid in the Summer 2026 season ran from about $45,000 at the bottom of the class to about $100,000 at the top, so all-in pay landed between $155,000 and $210,000 [VERIFY: per-bank first-year reports on the Wall Street Oasis 2026 analyst bonus thread and Mergers &amp; Inquisitions' February 2026 compensation report]. Elite boutiques pay a $120,000 base with a wider bonus range, so $170,000 to $230,000 is the normal spread there [VERIFY: Lazard and Rothschild first-year bases on the WSO 2026 thread; Evercore's $120,000 base as reported by Business Insider in August 2021]. </w:t>
      </w:r>
      <w:r>
        <w:rPr>
          <w:rFonts w:ascii="Arial" w:hAnsi="Arial" w:eastAsia="Arial" w:cs="Arial"/>
          <w:b/>
        </w:rPr>
        <w:t>The figures above are the latest confirmed numbers, from the 2026 analyst class and the Summer 2026 bonus season, and the class that starts in summer 2027 should expect the same scale unless banks raise bases again, which most haven't since 2022</w:t>
      </w:r>
      <w:r>
        <w:rPr>
          <w:rFonts w:ascii="Arial" w:hAnsi="Arial" w:eastAsia="Arial" w:cs="Arial"/>
        </w:rPr>
        <w:t xml:space="preserve"> [VERIFY: Mergers &amp; Inquisitions, February 2026, "at most banks, these were last adjusted in 2022"].</w:t>
      </w:r>
    </w:p>
    <w:p>
      <w:pPr/>
    </w:p>
    <w:p>
      <w:pPr>
        <w:pStyle w:val="Heading2"/>
      </w:pPr>
      <w:r>
        <w:rPr>
          <w:rFonts w:ascii="Arial" w:hAnsi="Arial" w:eastAsia="Arial" w:cs="Arial"/>
        </w:rPr>
        <w:t>How much of an investment banking salary goes to taxes?</w:t>
      </w:r>
    </w:p>
    <w:p>
      <w:pPr/>
      <w:r>
        <w:rPr>
          <w:rFonts w:ascii="Arial" w:hAnsi="Arial" w:eastAsia="Arial" w:cs="Arial"/>
        </w:rPr>
        <w:t xml:space="preserve">About a third: on $200,000 of gross pay in New York City, a single analyst with no pre-tax deductions pays $36,734 of federal income tax, $14,339 of Social Security and Medicare, $11,328 to New York State and $7,317 to New York City. That's $69,718 in total, or 34.9 percent [VERIFY: 2026 federal brackets and standard deduction from IRS Rev. Proc. 2025-32; 2026 wage base from SSA; New York State and City rates from Form IT-2105-I (2026); script-checked]. </w:t>
      </w:r>
      <w:r>
        <w:rPr>
          <w:rFonts w:ascii="Arial" w:hAnsi="Arial" w:eastAsia="Arial" w:cs="Arial"/>
          <w:b/>
        </w:rPr>
        <w:t>A New York investment banking analyst salary loses about 35 cents of every dollar to taxes, and about 41 cents of each additional dollar through most of the 24 percent federal bracket.</w:t>
      </w:r>
      <w:r>
        <w:rPr>
          <w:rFonts w:ascii="Arial" w:hAnsi="Arial" w:eastAsia="Arial" w:cs="Arial"/>
        </w:rPr>
        <w:t xml:space="preserve"> Move the same job to Houston and the tax bill drops to $51,073.</w:t>
      </w:r>
    </w:p>
    <w:p>
      <w:pPr/>
    </w:p>
    <w:p>
      <w:pPr>
        <w:pStyle w:val="Heading2"/>
      </w:pPr>
      <w:r>
        <w:rPr>
          <w:rFonts w:ascii="Arial" w:hAnsi="Arial" w:eastAsia="Arial" w:cs="Arial"/>
        </w:rPr>
        <w:t>1. An investment banking analyst salary comes in five pieces, and only one of them arrives every two weeks</w:t>
      </w:r>
    </w:p>
    <w:p>
      <w:pPr/>
      <w:r>
        <w:rPr>
          <w:rFonts w:ascii="Arial" w:hAnsi="Arial" w:eastAsia="Arial" w:cs="Arial"/>
        </w:rPr>
        <w:t>The offer letter quotes a base and hints at a bonus. The money actually shows up in five different ways, on five different schedules, and the schedule matters more than students expect because it decides when you can afford a deposit on an apartment.</w:t>
      </w:r>
    </w:p>
    <w:p>
      <w:pPr/>
    </w:p>
    <w:p>
      <w:pPr/>
      <w:r>
        <w:rPr>
          <w:rFonts w:ascii="Arial" w:hAnsi="Arial" w:eastAsia="Arial" w:cs="Arial"/>
          <w:b/>
        </w:rPr>
        <w:t>Base salary is the only part of an investment banking analyst salary you can count on by the month.</w:t>
      </w:r>
      <w:r>
        <w:rPr>
          <w:rFonts w:ascii="Arial" w:hAnsi="Arial" w:eastAsia="Arial" w:cs="Arial"/>
        </w:rPr>
        <w:t xml:space="preserve"> A $110,000 base paid over 26 biweekly paychecks is $4,231 of gross pay per check [VERIFY: $110,000 bulge bracket first-year base, WSO 2026 thread]. After withholding, in New York, the deposit is closer to $2,950, and under $2,800 once a 6 percent 401(k) contribution and the health premium come out, which is the number that surprises people (sections 4 and 5 show exactly why). Base salaries step up each year on a fixed scale and don't depend on how you're ranked.</w:t>
      </w:r>
    </w:p>
    <w:p>
      <w:pPr/>
    </w:p>
    <w:p>
      <w:pPr/>
      <w:r>
        <w:rPr>
          <w:rFonts w:ascii="Arial" w:hAnsi="Arial" w:eastAsia="Arial" w:cs="Arial"/>
        </w:rPr>
        <w:t>A signing bonus is a one-time payment for accepting the offer, usually paid in your first month. At the big banks it has run about $10,000 to $15,000 for analysts, and Evercore put a $15,000 starting bonus on top of its $120,000 base when it raised pay in 2021 [VERIFY: signing bonus range from reported analyst offers; Evercore figure per Business Insider via eFinancialCareers, August 2021]. Summer Analysts who convert to a full-time offer usually get the same signing bonus as outside hires, which is one more reason converting the Summer Analyst seat is the whole game [VERIFY: signing bonus terms for converted interns at your bank].</w:t>
      </w:r>
    </w:p>
    <w:p>
      <w:pPr/>
    </w:p>
    <w:p>
      <w:pPr/>
      <w:r>
        <w:rPr>
          <w:rFonts w:ascii="Arial" w:hAnsi="Arial" w:eastAsia="Arial" w:cs="Arial"/>
        </w:rPr>
        <w:t>A relocation payment covers the move. It's usually a lump sum of about $5,000 to $10,000, sometimes paid whether or not you actually moved [VERIFY: typical relocation range from reported offers]. One tax detail: since 2018, moving reimbursements count as taxable wages for everyone except active-duty military moving on orders and some intelligence community employees, and the 2025 tax law made that permanent, so a $7,500 relocation payment shows up on your W-2 like any other pay [VERIFY: IRS Publication 15-B (2026), "Moving Expense Reimbursements," P.L. 119-21].</w:t>
      </w:r>
    </w:p>
    <w:p>
      <w:pPr/>
    </w:p>
    <w:p>
      <w:pPr/>
      <w:r>
        <w:rPr>
          <w:rFonts w:ascii="Arial" w:hAnsi="Arial" w:eastAsia="Arial" w:cs="Arial"/>
        </w:rPr>
        <w:t>Then the bonus, which comes in two shapes depending on your bank's calendar. At most bulge brackets the analyst bonus year runs July to June, so a July starter gets the first full bonus about 12 months in, the following summer. A few firms pay analysts on the calendar year instead. At those banks a July starter gets a prorated "stub" bonus the first December for the five or six months worked, then waits for the first full bonus the December after that. Centerview runs a December cycle with a large stub, William Blair's stub was reported at $22,500, and JPMorgan reportedly moved its analysts onto a winter cycle in 2026 and paid a $35,000 stub to bridge the gap [VERIFY: Centerview, William Blair and JPMorgan bonus timing per the WSO 2026 analyst bonus thread]. Ask which calendar your bank uses before you sign a lease that assumes a bonus in month six.</w:t>
      </w:r>
    </w:p>
    <w:p>
      <w:pPr/>
    </w:p>
    <w:p>
      <w:pPr/>
      <w:r>
        <w:rPr>
          <w:rFonts w:ascii="Arial" w:hAnsi="Arial" w:eastAsia="Arial" w:cs="Arial"/>
        </w:rPr>
        <w:t>The year-end bonus is the piece that varies. Everything else is fixed by your bank and your class year; the bonus is set by how you were ranked and how the bank did. At the analyst level it is paid entirely in cash, no deferred stock, which is not true once you're a vice president [VERIFY: 100 percent cash analyst bonuses per Mergers &amp; Inquisitions, February 2026].</w:t>
      </w:r>
    </w:p>
    <w:p>
      <w:pPr/>
    </w:p>
    <w:p>
      <w:pPr/>
      <w:r>
        <w:rPr>
          <w:rFonts w:ascii="Arial" w:hAnsi="Arial" w:eastAsia="Arial" w:cs="Arial"/>
        </w:rPr>
        <w:t>Here is the stack for a bulge bracket first-year starting in 2027, on the 2026 scale.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Piece</w:t>
            </w:r>
          </w:p>
        </w:tc>
        <w:tc>
          <w:tcPr>
            <w:tcW w:type="dxa" w:w="2340"/>
          </w:tcPr>
          <w:p>
            <w:pPr>
              <w:spacing w:line="240" w:lineRule="auto" w:before="40" w:after="40"/>
            </w:pPr>
            <w:r>
              <w:rPr>
                <w:color w:val="000000"/>
                <w:sz w:val="20"/>
              </w:rPr>
            </w:r>
            <w:r>
              <w:rPr>
                <w:rFonts w:ascii="Arial" w:hAnsi="Arial" w:eastAsia="Arial" w:cs="Arial"/>
                <w:b/>
                <w:color w:val="000000"/>
                <w:sz w:val="20"/>
              </w:rPr>
              <w:t>When it lands</w:t>
            </w:r>
          </w:p>
        </w:tc>
        <w:tc>
          <w:tcPr>
            <w:tcW w:type="dxa" w:w="2340"/>
          </w:tcPr>
          <w:p>
            <w:pPr>
              <w:spacing w:line="240" w:lineRule="auto" w:before="40" w:after="40"/>
            </w:pPr>
            <w:r>
              <w:rPr>
                <w:color w:val="000000"/>
                <w:sz w:val="20"/>
              </w:rPr>
            </w:r>
            <w:r>
              <w:rPr>
                <w:rFonts w:ascii="Arial" w:hAnsi="Arial" w:eastAsia="Arial" w:cs="Arial"/>
                <w:b/>
                <w:color w:val="000000"/>
                <w:sz w:val="20"/>
              </w:rPr>
              <w:t>Typical size (bulge bracket, 2026 scale)</w:t>
            </w:r>
          </w:p>
        </w:tc>
        <w:tc>
          <w:tcPr>
            <w:tcW w:type="dxa" w:w="2340"/>
          </w:tcPr>
          <w:p>
            <w:pPr>
              <w:spacing w:line="240" w:lineRule="auto" w:before="40" w:after="40"/>
            </w:pPr>
            <w:r>
              <w:rPr>
                <w:color w:val="000000"/>
                <w:sz w:val="20"/>
              </w:rPr>
            </w:r>
            <w:r>
              <w:rPr>
                <w:rFonts w:ascii="Arial" w:hAnsi="Arial" w:eastAsia="Arial" w:cs="Arial"/>
                <w:b/>
                <w:color w:val="000000"/>
                <w:sz w:val="20"/>
              </w:rPr>
              <w:t>How payroll taxes it</w:t>
            </w:r>
          </w:p>
        </w:tc>
      </w:tr>
      <w:tr>
        <w:tc>
          <w:tcPr>
            <w:tcW w:type="dxa" w:w="2340"/>
          </w:tcPr>
          <w:p>
            <w:pPr>
              <w:spacing w:line="240" w:lineRule="auto" w:before="40" w:after="40"/>
            </w:pPr>
            <w:r>
              <w:rPr>
                <w:color w:val="000000"/>
                <w:sz w:val="20"/>
              </w:rPr>
            </w:r>
            <w:r>
              <w:rPr>
                <w:rFonts w:ascii="Arial" w:hAnsi="Arial" w:eastAsia="Arial" w:cs="Arial"/>
                <w:color w:val="000000"/>
                <w:sz w:val="20"/>
              </w:rPr>
              <w:t>Base salary</w:t>
            </w:r>
          </w:p>
        </w:tc>
        <w:tc>
          <w:tcPr>
            <w:tcW w:type="dxa" w:w="2340"/>
          </w:tcPr>
          <w:p>
            <w:pPr>
              <w:spacing w:line="240" w:lineRule="auto" w:before="40" w:after="40"/>
            </w:pPr>
            <w:r>
              <w:rPr>
                <w:color w:val="000000"/>
                <w:sz w:val="20"/>
              </w:rPr>
            </w:r>
            <w:r>
              <w:rPr>
                <w:rFonts w:ascii="Arial" w:hAnsi="Arial" w:eastAsia="Arial" w:cs="Arial"/>
                <w:color w:val="000000"/>
                <w:sz w:val="20"/>
              </w:rPr>
              <w:t>26 biweekly paychecks</w:t>
            </w:r>
          </w:p>
        </w:tc>
        <w:tc>
          <w:tcPr>
            <w:tcW w:type="dxa" w:w="2340"/>
          </w:tcPr>
          <w:p>
            <w:pPr>
              <w:spacing w:line="240" w:lineRule="auto" w:before="40" w:after="40"/>
            </w:pPr>
            <w:r>
              <w:rPr>
                <w:color w:val="000000"/>
                <w:sz w:val="20"/>
              </w:rPr>
            </w:r>
            <w:r>
              <w:rPr>
                <w:rFonts w:ascii="Arial" w:hAnsi="Arial" w:eastAsia="Arial" w:cs="Arial"/>
                <w:color w:val="000000"/>
                <w:sz w:val="20"/>
              </w:rPr>
              <w:t>$110,000</w:t>
            </w:r>
          </w:p>
        </w:tc>
        <w:tc>
          <w:tcPr>
            <w:tcW w:type="dxa" w:w="2340"/>
          </w:tcPr>
          <w:p>
            <w:pPr>
              <w:spacing w:line="240" w:lineRule="auto" w:before="40" w:after="40"/>
            </w:pPr>
            <w:r>
              <w:rPr>
                <w:color w:val="000000"/>
                <w:sz w:val="20"/>
              </w:rPr>
            </w:r>
            <w:r>
              <w:rPr>
                <w:rFonts w:ascii="Arial" w:hAnsi="Arial" w:eastAsia="Arial" w:cs="Arial"/>
                <w:color w:val="000000"/>
                <w:sz w:val="20"/>
              </w:rPr>
              <w:t>Regular wages, withheld by the tables</w:t>
            </w:r>
          </w:p>
        </w:tc>
      </w:tr>
      <w:tr>
        <w:tc>
          <w:tcPr>
            <w:tcW w:type="dxa" w:w="2340"/>
          </w:tcPr>
          <w:p>
            <w:pPr>
              <w:spacing w:line="240" w:lineRule="auto" w:before="40" w:after="40"/>
            </w:pPr>
            <w:r>
              <w:rPr>
                <w:color w:val="000000"/>
                <w:sz w:val="20"/>
              </w:rPr>
            </w:r>
            <w:r>
              <w:rPr>
                <w:rFonts w:ascii="Arial" w:hAnsi="Arial" w:eastAsia="Arial" w:cs="Arial"/>
                <w:color w:val="000000"/>
                <w:sz w:val="20"/>
              </w:rPr>
              <w:t>Signing bonus</w:t>
            </w:r>
          </w:p>
        </w:tc>
        <w:tc>
          <w:tcPr>
            <w:tcW w:type="dxa" w:w="2340"/>
          </w:tcPr>
          <w:p>
            <w:pPr>
              <w:spacing w:line="240" w:lineRule="auto" w:before="40" w:after="40"/>
            </w:pPr>
            <w:r>
              <w:rPr>
                <w:color w:val="000000"/>
                <w:sz w:val="20"/>
              </w:rPr>
            </w:r>
            <w:r>
              <w:rPr>
                <w:rFonts w:ascii="Arial" w:hAnsi="Arial" w:eastAsia="Arial" w:cs="Arial"/>
                <w:color w:val="000000"/>
                <w:sz w:val="20"/>
              </w:rPr>
              <w:t>First month</w:t>
            </w:r>
          </w:p>
        </w:tc>
        <w:tc>
          <w:tcPr>
            <w:tcW w:type="dxa" w:w="2340"/>
          </w:tcPr>
          <w:p>
            <w:pPr>
              <w:spacing w:line="240" w:lineRule="auto" w:before="40" w:after="40"/>
            </w:pPr>
            <w:r>
              <w:rPr>
                <w:color w:val="000000"/>
                <w:sz w:val="20"/>
              </w:rPr>
            </w:r>
            <w:r>
              <w:rPr>
                <w:rFonts w:ascii="Arial" w:hAnsi="Arial" w:eastAsia="Arial" w:cs="Arial"/>
                <w:color w:val="000000"/>
                <w:sz w:val="20"/>
              </w:rPr>
              <w:t>$10,000 to $15,000</w:t>
            </w:r>
          </w:p>
        </w:tc>
        <w:tc>
          <w:tcPr>
            <w:tcW w:type="dxa" w:w="2340"/>
          </w:tcPr>
          <w:p>
            <w:pPr>
              <w:spacing w:line="240" w:lineRule="auto" w:before="40" w:after="40"/>
            </w:pPr>
            <w:r>
              <w:rPr>
                <w:color w:val="000000"/>
                <w:sz w:val="20"/>
              </w:rPr>
            </w:r>
            <w:r>
              <w:rPr>
                <w:rFonts w:ascii="Arial" w:hAnsi="Arial" w:eastAsia="Arial" w:cs="Arial"/>
                <w:color w:val="000000"/>
                <w:sz w:val="20"/>
              </w:rPr>
              <w:t>Supplemental wages, flat-rate withholding</w:t>
            </w:r>
          </w:p>
        </w:tc>
      </w:tr>
      <w:tr>
        <w:tc>
          <w:tcPr>
            <w:tcW w:type="dxa" w:w="2340"/>
          </w:tcPr>
          <w:p>
            <w:pPr>
              <w:spacing w:line="240" w:lineRule="auto" w:before="40" w:after="40"/>
            </w:pPr>
            <w:r>
              <w:rPr>
                <w:color w:val="000000"/>
                <w:sz w:val="20"/>
              </w:rPr>
            </w:r>
            <w:r>
              <w:rPr>
                <w:rFonts w:ascii="Arial" w:hAnsi="Arial" w:eastAsia="Arial" w:cs="Arial"/>
                <w:color w:val="000000"/>
                <w:sz w:val="20"/>
              </w:rPr>
              <w:t>Relocation</w:t>
            </w:r>
          </w:p>
        </w:tc>
        <w:tc>
          <w:tcPr>
            <w:tcW w:type="dxa" w:w="2340"/>
          </w:tcPr>
          <w:p>
            <w:pPr>
              <w:spacing w:line="240" w:lineRule="auto" w:before="40" w:after="40"/>
            </w:pPr>
            <w:r>
              <w:rPr>
                <w:color w:val="000000"/>
                <w:sz w:val="20"/>
              </w:rPr>
            </w:r>
            <w:r>
              <w:rPr>
                <w:rFonts w:ascii="Arial" w:hAnsi="Arial" w:eastAsia="Arial" w:cs="Arial"/>
                <w:color w:val="000000"/>
                <w:sz w:val="20"/>
              </w:rPr>
              <w:t>Around the move</w:t>
            </w:r>
          </w:p>
        </w:tc>
        <w:tc>
          <w:tcPr>
            <w:tcW w:type="dxa" w:w="2340"/>
          </w:tcPr>
          <w:p>
            <w:pPr>
              <w:spacing w:line="240" w:lineRule="auto" w:before="40" w:after="40"/>
            </w:pPr>
            <w:r>
              <w:rPr>
                <w:color w:val="000000"/>
                <w:sz w:val="20"/>
              </w:rPr>
            </w:r>
            <w:r>
              <w:rPr>
                <w:rFonts w:ascii="Arial" w:hAnsi="Arial" w:eastAsia="Arial" w:cs="Arial"/>
                <w:color w:val="000000"/>
                <w:sz w:val="20"/>
              </w:rPr>
              <w:t>$5,000 to $10,000 lump sum</w:t>
            </w:r>
          </w:p>
        </w:tc>
        <w:tc>
          <w:tcPr>
            <w:tcW w:type="dxa" w:w="2340"/>
          </w:tcPr>
          <w:p>
            <w:pPr>
              <w:spacing w:line="240" w:lineRule="auto" w:before="40" w:after="40"/>
            </w:pPr>
            <w:r>
              <w:rPr>
                <w:color w:val="000000"/>
                <w:sz w:val="20"/>
              </w:rPr>
            </w:r>
            <w:r>
              <w:rPr>
                <w:rFonts w:ascii="Arial" w:hAnsi="Arial" w:eastAsia="Arial" w:cs="Arial"/>
                <w:color w:val="000000"/>
                <w:sz w:val="20"/>
              </w:rPr>
              <w:t>Supplemental wages, taxable since 2018</w:t>
            </w:r>
          </w:p>
        </w:tc>
      </w:tr>
      <w:tr>
        <w:tc>
          <w:tcPr>
            <w:tcW w:type="dxa" w:w="2340"/>
          </w:tcPr>
          <w:p>
            <w:pPr>
              <w:spacing w:line="240" w:lineRule="auto" w:before="40" w:after="40"/>
            </w:pPr>
            <w:r>
              <w:rPr>
                <w:color w:val="000000"/>
                <w:sz w:val="20"/>
              </w:rPr>
            </w:r>
            <w:r>
              <w:rPr>
                <w:rFonts w:ascii="Arial" w:hAnsi="Arial" w:eastAsia="Arial" w:cs="Arial"/>
                <w:color w:val="000000"/>
                <w:sz w:val="20"/>
              </w:rPr>
              <w:t>Stub bonus</w:t>
            </w:r>
          </w:p>
        </w:tc>
        <w:tc>
          <w:tcPr>
            <w:tcW w:type="dxa" w:w="2340"/>
          </w:tcPr>
          <w:p>
            <w:pPr>
              <w:spacing w:line="240" w:lineRule="auto" w:before="40" w:after="40"/>
            </w:pPr>
            <w:r>
              <w:rPr>
                <w:color w:val="000000"/>
                <w:sz w:val="20"/>
              </w:rPr>
            </w:r>
            <w:r>
              <w:rPr>
                <w:rFonts w:ascii="Arial" w:hAnsi="Arial" w:eastAsia="Arial" w:cs="Arial"/>
                <w:color w:val="000000"/>
                <w:sz w:val="20"/>
              </w:rPr>
              <w:t>First December, only at calendar-year banks</w:t>
            </w:r>
          </w:p>
        </w:tc>
        <w:tc>
          <w:tcPr>
            <w:tcW w:type="dxa" w:w="2340"/>
          </w:tcPr>
          <w:p>
            <w:pPr>
              <w:spacing w:line="240" w:lineRule="auto" w:before="40" w:after="40"/>
            </w:pPr>
            <w:r>
              <w:rPr>
                <w:color w:val="000000"/>
                <w:sz w:val="20"/>
              </w:rPr>
            </w:r>
            <w:r>
              <w:rPr>
                <w:rFonts w:ascii="Arial" w:hAnsi="Arial" w:eastAsia="Arial" w:cs="Arial"/>
                <w:color w:val="000000"/>
                <w:sz w:val="20"/>
              </w:rPr>
              <w:t>Prorated for months worked</w:t>
            </w:r>
          </w:p>
        </w:tc>
        <w:tc>
          <w:tcPr>
            <w:tcW w:type="dxa" w:w="2340"/>
          </w:tcPr>
          <w:p>
            <w:pPr>
              <w:spacing w:line="240" w:lineRule="auto" w:before="40" w:after="40"/>
            </w:pPr>
            <w:r>
              <w:rPr>
                <w:color w:val="000000"/>
                <w:sz w:val="20"/>
              </w:rPr>
            </w:r>
            <w:r>
              <w:rPr>
                <w:rFonts w:ascii="Arial" w:hAnsi="Arial" w:eastAsia="Arial" w:cs="Arial"/>
                <w:color w:val="000000"/>
                <w:sz w:val="20"/>
              </w:rPr>
              <w:t>Supplemental wages</w:t>
            </w:r>
          </w:p>
        </w:tc>
      </w:tr>
      <w:tr>
        <w:tc>
          <w:tcPr>
            <w:tcW w:type="dxa" w:w="2340"/>
          </w:tcPr>
          <w:p>
            <w:pPr>
              <w:spacing w:line="240" w:lineRule="auto" w:before="40" w:after="40"/>
            </w:pPr>
            <w:r>
              <w:rPr>
                <w:color w:val="000000"/>
                <w:sz w:val="20"/>
              </w:rPr>
            </w:r>
            <w:r>
              <w:rPr>
                <w:rFonts w:ascii="Arial" w:hAnsi="Arial" w:eastAsia="Arial" w:cs="Arial"/>
                <w:color w:val="000000"/>
                <w:sz w:val="20"/>
              </w:rPr>
              <w:t>Year-end bonus</w:t>
            </w:r>
          </w:p>
        </w:tc>
        <w:tc>
          <w:tcPr>
            <w:tcW w:type="dxa" w:w="2340"/>
          </w:tcPr>
          <w:p>
            <w:pPr>
              <w:spacing w:line="240" w:lineRule="auto" w:before="40" w:after="40"/>
            </w:pPr>
            <w:r>
              <w:rPr>
                <w:color w:val="000000"/>
                <w:sz w:val="20"/>
              </w:rPr>
            </w:r>
            <w:r>
              <w:rPr>
                <w:rFonts w:ascii="Arial" w:hAnsi="Arial" w:eastAsia="Arial" w:cs="Arial"/>
                <w:color w:val="000000"/>
                <w:sz w:val="20"/>
              </w:rPr>
              <w:t>About 12 months in at most bulge brackets</w:t>
            </w:r>
          </w:p>
        </w:tc>
        <w:tc>
          <w:tcPr>
            <w:tcW w:type="dxa" w:w="2340"/>
          </w:tcPr>
          <w:p>
            <w:pPr>
              <w:spacing w:line="240" w:lineRule="auto" w:before="40" w:after="40"/>
            </w:pPr>
            <w:r>
              <w:rPr>
                <w:color w:val="000000"/>
                <w:sz w:val="20"/>
              </w:rPr>
            </w:r>
            <w:r>
              <w:rPr>
                <w:rFonts w:ascii="Arial" w:hAnsi="Arial" w:eastAsia="Arial" w:cs="Arial"/>
                <w:color w:val="000000"/>
                <w:sz w:val="20"/>
              </w:rPr>
              <w:t>$45,000 to $100,000</w:t>
            </w:r>
          </w:p>
        </w:tc>
        <w:tc>
          <w:tcPr>
            <w:tcW w:type="dxa" w:w="2340"/>
          </w:tcPr>
          <w:p>
            <w:pPr>
              <w:spacing w:line="240" w:lineRule="auto" w:before="40" w:after="40"/>
            </w:pPr>
            <w:r>
              <w:rPr>
                <w:color w:val="000000"/>
                <w:sz w:val="20"/>
              </w:rPr>
            </w:r>
            <w:r>
              <w:rPr>
                <w:rFonts w:ascii="Arial" w:hAnsi="Arial" w:eastAsia="Arial" w:cs="Arial"/>
                <w:color w:val="000000"/>
                <w:sz w:val="20"/>
              </w:rPr>
              <w:t>Supplemental wages</w:t>
            </w:r>
          </w:p>
        </w:tc>
      </w:tr>
    </w:tbl>
    <w:p>
      <w:pPr/>
    </w:p>
    <w:p>
      <w:pPr/>
      <w:r>
        <w:rPr>
          <w:rFonts w:ascii="Arial" w:hAnsi="Arial" w:eastAsia="Arial" w:cs="Arial"/>
        </w:rPr>
        <w:t>[VERIFY: every figure in this table against the WSO 2026 analyst bonus thread and reported offer letters before publish]</w:t>
      </w:r>
    </w:p>
    <w:p>
      <w:pPr/>
    </w:p>
    <w:p>
      <w:pPr/>
      <w:r>
        <w:rPr>
          <w:rFonts w:ascii="Arial" w:hAnsi="Arial" w:eastAsia="Arial" w:cs="Arial"/>
          <w:b/>
        </w:rPr>
        <w:t>All-in pay means base plus year-end bonus. Signing, relocation and stub payments are one-offs and don't belong in the number you compare across banks.</w:t>
      </w:r>
      <w:r>
        <w:rPr>
          <w:rFonts w:ascii="Arial" w:hAnsi="Arial" w:eastAsia="Arial" w:cs="Arial"/>
        </w:rPr>
        <w:t xml:space="preserve"> When someone on a networking call says "I made $185,000 my first year," they mean $110,000 plus a $75,000 bonus, and they are not counting the $10,000 they got for showing up.</w:t>
      </w:r>
    </w:p>
    <w:p>
      <w:pPr/>
    </w:p>
    <w:p>
      <w:pPr>
        <w:pStyle w:val="Heading2"/>
      </w:pPr>
      <w:r>
        <w:rPr>
          <w:rFonts w:ascii="Arial" w:hAnsi="Arial" w:eastAsia="Arial" w:cs="Arial"/>
        </w:rPr>
        <w:t>2. Base salary is set by your bank's tier, and it has barely moved since 2022</w:t>
      </w:r>
    </w:p>
    <w:p>
      <w:pPr/>
      <w:r>
        <w:rPr>
          <w:rFonts w:ascii="Arial" w:hAnsi="Arial" w:eastAsia="Arial" w:cs="Arial"/>
        </w:rPr>
        <w:t>Banks don't negotiate analyst base salaries. Every first-year at a given bank gets the same number, and the number is set by where the bank sits in the market. The useful way to think about it is four tiers.</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Tier</w:t>
            </w:r>
          </w:p>
        </w:tc>
        <w:tc>
          <w:tcPr>
            <w:tcW w:type="dxa" w:w="1560"/>
          </w:tcPr>
          <w:p>
            <w:pPr>
              <w:spacing w:line="240" w:lineRule="auto" w:before="40" w:after="40"/>
            </w:pPr>
            <w:r>
              <w:rPr>
                <w:color w:val="000000"/>
                <w:sz w:val="20"/>
              </w:rPr>
            </w:r>
            <w:r>
              <w:rPr>
                <w:rFonts w:ascii="Arial" w:hAnsi="Arial" w:eastAsia="Arial" w:cs="Arial"/>
                <w:b/>
                <w:color w:val="000000"/>
                <w:sz w:val="20"/>
              </w:rPr>
              <w:t>First-year base</w:t>
            </w:r>
          </w:p>
        </w:tc>
        <w:tc>
          <w:tcPr>
            <w:tcW w:type="dxa" w:w="1560"/>
          </w:tcPr>
          <w:p>
            <w:pPr>
              <w:spacing w:line="240" w:lineRule="auto" w:before="40" w:after="40"/>
            </w:pPr>
            <w:r>
              <w:rPr>
                <w:color w:val="000000"/>
                <w:sz w:val="20"/>
              </w:rPr>
            </w:r>
            <w:r>
              <w:rPr>
                <w:rFonts w:ascii="Arial" w:hAnsi="Arial" w:eastAsia="Arial" w:cs="Arial"/>
                <w:b/>
                <w:color w:val="000000"/>
                <w:sz w:val="20"/>
              </w:rPr>
              <w:t>Second-year base</w:t>
            </w:r>
          </w:p>
        </w:tc>
        <w:tc>
          <w:tcPr>
            <w:tcW w:type="dxa" w:w="1560"/>
          </w:tcPr>
          <w:p>
            <w:pPr>
              <w:spacing w:line="240" w:lineRule="auto" w:before="40" w:after="40"/>
            </w:pPr>
            <w:r>
              <w:rPr>
                <w:color w:val="000000"/>
                <w:sz w:val="20"/>
              </w:rPr>
            </w:r>
            <w:r>
              <w:rPr>
                <w:rFonts w:ascii="Arial" w:hAnsi="Arial" w:eastAsia="Arial" w:cs="Arial"/>
                <w:b/>
                <w:color w:val="000000"/>
                <w:sz w:val="20"/>
              </w:rPr>
              <w:t>Third-year base</w:t>
            </w:r>
          </w:p>
        </w:tc>
        <w:tc>
          <w:tcPr>
            <w:tcW w:type="dxa" w:w="1560"/>
          </w:tcPr>
          <w:p>
            <w:pPr>
              <w:spacing w:line="240" w:lineRule="auto" w:before="40" w:after="40"/>
            </w:pPr>
            <w:r>
              <w:rPr>
                <w:color w:val="000000"/>
                <w:sz w:val="20"/>
              </w:rPr>
            </w:r>
            <w:r>
              <w:rPr>
                <w:rFonts w:ascii="Arial" w:hAnsi="Arial" w:eastAsia="Arial" w:cs="Arial"/>
                <w:b/>
                <w:color w:val="000000"/>
                <w:sz w:val="20"/>
              </w:rPr>
              <w:t>First-year bonus range</w:t>
            </w:r>
          </w:p>
        </w:tc>
        <w:tc>
          <w:tcPr>
            <w:tcW w:type="dxa" w:w="1560"/>
          </w:tcPr>
          <w:p>
            <w:pPr>
              <w:spacing w:line="240" w:lineRule="auto" w:before="40" w:after="40"/>
            </w:pPr>
            <w:r>
              <w:rPr>
                <w:color w:val="000000"/>
                <w:sz w:val="20"/>
              </w:rPr>
            </w:r>
            <w:r>
              <w:rPr>
                <w:rFonts w:ascii="Arial" w:hAnsi="Arial" w:eastAsia="Arial" w:cs="Arial"/>
                <w:b/>
                <w:color w:val="000000"/>
                <w:sz w:val="20"/>
              </w:rPr>
              <w:t>First-year all-in range</w:t>
            </w:r>
          </w:p>
        </w:tc>
      </w:tr>
      <w:tr>
        <w:tc>
          <w:tcPr>
            <w:tcW w:type="dxa" w:w="1560"/>
          </w:tcPr>
          <w:p>
            <w:pPr>
              <w:spacing w:line="240" w:lineRule="auto" w:before="40" w:after="40"/>
            </w:pPr>
            <w:r>
              <w:rPr>
                <w:color w:val="000000"/>
                <w:sz w:val="20"/>
              </w:rPr>
            </w:r>
            <w:r>
              <w:rPr>
                <w:rFonts w:ascii="Arial" w:hAnsi="Arial" w:eastAsia="Arial" w:cs="Arial"/>
                <w:color w:val="000000"/>
                <w:sz w:val="20"/>
              </w:rPr>
              <w:t>Bulge bracket</w:t>
            </w:r>
          </w:p>
        </w:tc>
        <w:tc>
          <w:tcPr>
            <w:tcW w:type="dxa" w:w="1560"/>
          </w:tcPr>
          <w:p>
            <w:pPr>
              <w:spacing w:line="240" w:lineRule="auto" w:before="40" w:after="40"/>
            </w:pPr>
            <w:r>
              <w:rPr>
                <w:color w:val="000000"/>
                <w:sz w:val="20"/>
              </w:rPr>
            </w:r>
            <w:r>
              <w:rPr>
                <w:rFonts w:ascii="Arial" w:hAnsi="Arial" w:eastAsia="Arial" w:cs="Arial"/>
                <w:color w:val="000000"/>
                <w:sz w:val="20"/>
              </w:rPr>
              <w:t>$110,000</w:t>
            </w:r>
          </w:p>
        </w:tc>
        <w:tc>
          <w:tcPr>
            <w:tcW w:type="dxa" w:w="1560"/>
          </w:tcPr>
          <w:p>
            <w:pPr>
              <w:spacing w:line="240" w:lineRule="auto" w:before="40" w:after="40"/>
            </w:pPr>
            <w:r>
              <w:rPr>
                <w:color w:val="000000"/>
                <w:sz w:val="20"/>
              </w:rPr>
            </w:r>
            <w:r>
              <w:rPr>
                <w:rFonts w:ascii="Arial" w:hAnsi="Arial" w:eastAsia="Arial" w:cs="Arial"/>
                <w:color w:val="000000"/>
                <w:sz w:val="20"/>
              </w:rPr>
              <w:t>$125,000</w:t>
            </w:r>
          </w:p>
        </w:tc>
        <w:tc>
          <w:tcPr>
            <w:tcW w:type="dxa" w:w="1560"/>
          </w:tcPr>
          <w:p>
            <w:pPr>
              <w:spacing w:line="240" w:lineRule="auto" w:before="40" w:after="40"/>
            </w:pPr>
            <w:r>
              <w:rPr>
                <w:color w:val="000000"/>
                <w:sz w:val="20"/>
              </w:rPr>
            </w:r>
            <w:r>
              <w:rPr>
                <w:rFonts w:ascii="Arial" w:hAnsi="Arial" w:eastAsia="Arial" w:cs="Arial"/>
                <w:color w:val="000000"/>
                <w:sz w:val="20"/>
              </w:rPr>
              <w:t>$135,000</w:t>
            </w:r>
          </w:p>
        </w:tc>
        <w:tc>
          <w:tcPr>
            <w:tcW w:type="dxa" w:w="1560"/>
          </w:tcPr>
          <w:p>
            <w:pPr>
              <w:spacing w:line="240" w:lineRule="auto" w:before="40" w:after="40"/>
            </w:pPr>
            <w:r>
              <w:rPr>
                <w:color w:val="000000"/>
                <w:sz w:val="20"/>
              </w:rPr>
            </w:r>
            <w:r>
              <w:rPr>
                <w:rFonts w:ascii="Arial" w:hAnsi="Arial" w:eastAsia="Arial" w:cs="Arial"/>
                <w:color w:val="000000"/>
                <w:sz w:val="20"/>
              </w:rPr>
              <w:t>$45,000 to $100,000</w:t>
            </w:r>
          </w:p>
        </w:tc>
        <w:tc>
          <w:tcPr>
            <w:tcW w:type="dxa" w:w="1560"/>
          </w:tcPr>
          <w:p>
            <w:pPr>
              <w:spacing w:line="240" w:lineRule="auto" w:before="40" w:after="40"/>
            </w:pPr>
            <w:r>
              <w:rPr>
                <w:color w:val="000000"/>
                <w:sz w:val="20"/>
              </w:rPr>
            </w:r>
            <w:r>
              <w:rPr>
                <w:rFonts w:ascii="Arial" w:hAnsi="Arial" w:eastAsia="Arial" w:cs="Arial"/>
                <w:color w:val="000000"/>
                <w:sz w:val="20"/>
              </w:rPr>
              <w:t>$155,000 to $210,000</w:t>
            </w:r>
          </w:p>
        </w:tc>
      </w:tr>
      <w:tr>
        <w:tc>
          <w:tcPr>
            <w:tcW w:type="dxa" w:w="1560"/>
          </w:tcPr>
          <w:p>
            <w:pPr>
              <w:spacing w:line="240" w:lineRule="auto" w:before="40" w:after="40"/>
            </w:pPr>
            <w:r>
              <w:rPr>
                <w:color w:val="000000"/>
                <w:sz w:val="20"/>
              </w:rPr>
            </w:r>
            <w:r>
              <w:rPr>
                <w:rFonts w:ascii="Arial" w:hAnsi="Arial" w:eastAsia="Arial" w:cs="Arial"/>
                <w:color w:val="000000"/>
                <w:sz w:val="20"/>
              </w:rPr>
              <w:t>Elite boutique</w:t>
            </w:r>
          </w:p>
        </w:tc>
        <w:tc>
          <w:tcPr>
            <w:tcW w:type="dxa" w:w="1560"/>
          </w:tcPr>
          <w:p>
            <w:pPr>
              <w:spacing w:line="240" w:lineRule="auto" w:before="40" w:after="40"/>
            </w:pPr>
            <w:r>
              <w:rPr>
                <w:color w:val="000000"/>
                <w:sz w:val="20"/>
              </w:rPr>
            </w:r>
            <w:r>
              <w:rPr>
                <w:rFonts w:ascii="Arial" w:hAnsi="Arial" w:eastAsia="Arial" w:cs="Arial"/>
                <w:color w:val="000000"/>
                <w:sz w:val="20"/>
              </w:rPr>
              <w:t>$120,000</w:t>
            </w:r>
          </w:p>
        </w:tc>
        <w:tc>
          <w:tcPr>
            <w:tcW w:type="dxa" w:w="1560"/>
          </w:tcPr>
          <w:p>
            <w:pPr>
              <w:spacing w:line="240" w:lineRule="auto" w:before="40" w:after="40"/>
            </w:pPr>
            <w:r>
              <w:rPr>
                <w:color w:val="000000"/>
                <w:sz w:val="20"/>
              </w:rPr>
            </w:r>
            <w:r>
              <w:rPr>
                <w:rFonts w:ascii="Arial" w:hAnsi="Arial" w:eastAsia="Arial" w:cs="Arial"/>
                <w:color w:val="000000"/>
                <w:sz w:val="20"/>
              </w:rPr>
              <w:t>$130,000</w:t>
            </w:r>
          </w:p>
        </w:tc>
        <w:tc>
          <w:tcPr>
            <w:tcW w:type="dxa" w:w="1560"/>
          </w:tcPr>
          <w:p>
            <w:pPr>
              <w:spacing w:line="240" w:lineRule="auto" w:before="40" w:after="40"/>
            </w:pPr>
            <w:r>
              <w:rPr>
                <w:color w:val="000000"/>
                <w:sz w:val="20"/>
              </w:rPr>
            </w:r>
            <w:r>
              <w:rPr>
                <w:rFonts w:ascii="Arial" w:hAnsi="Arial" w:eastAsia="Arial" w:cs="Arial"/>
                <w:color w:val="000000"/>
                <w:sz w:val="20"/>
              </w:rPr>
              <w:t>$140,000</w:t>
            </w:r>
          </w:p>
        </w:tc>
        <w:tc>
          <w:tcPr>
            <w:tcW w:type="dxa" w:w="1560"/>
          </w:tcPr>
          <w:p>
            <w:pPr>
              <w:spacing w:line="240" w:lineRule="auto" w:before="40" w:after="40"/>
            </w:pPr>
            <w:r>
              <w:rPr>
                <w:color w:val="000000"/>
                <w:sz w:val="20"/>
              </w:rPr>
            </w:r>
            <w:r>
              <w:rPr>
                <w:rFonts w:ascii="Arial" w:hAnsi="Arial" w:eastAsia="Arial" w:cs="Arial"/>
                <w:color w:val="000000"/>
                <w:sz w:val="20"/>
              </w:rPr>
              <w:t>$50,000 to $110,000</w:t>
            </w:r>
          </w:p>
        </w:tc>
        <w:tc>
          <w:tcPr>
            <w:tcW w:type="dxa" w:w="1560"/>
          </w:tcPr>
          <w:p>
            <w:pPr>
              <w:spacing w:line="240" w:lineRule="auto" w:before="40" w:after="40"/>
            </w:pPr>
            <w:r>
              <w:rPr>
                <w:color w:val="000000"/>
                <w:sz w:val="20"/>
              </w:rPr>
            </w:r>
            <w:r>
              <w:rPr>
                <w:rFonts w:ascii="Arial" w:hAnsi="Arial" w:eastAsia="Arial" w:cs="Arial"/>
                <w:color w:val="000000"/>
                <w:sz w:val="20"/>
              </w:rPr>
              <w:t>$170,000 to $230,000</w:t>
            </w:r>
          </w:p>
        </w:tc>
      </w:tr>
      <w:tr>
        <w:tc>
          <w:tcPr>
            <w:tcW w:type="dxa" w:w="1560"/>
          </w:tcPr>
          <w:p>
            <w:pPr>
              <w:spacing w:line="240" w:lineRule="auto" w:before="40" w:after="40"/>
            </w:pPr>
            <w:r>
              <w:rPr>
                <w:color w:val="000000"/>
                <w:sz w:val="20"/>
              </w:rPr>
            </w:r>
            <w:r>
              <w:rPr>
                <w:rFonts w:ascii="Arial" w:hAnsi="Arial" w:eastAsia="Arial" w:cs="Arial"/>
                <w:color w:val="000000"/>
                <w:sz w:val="20"/>
              </w:rPr>
              <w:t>Middle market</w:t>
            </w:r>
          </w:p>
        </w:tc>
        <w:tc>
          <w:tcPr>
            <w:tcW w:type="dxa" w:w="1560"/>
          </w:tcPr>
          <w:p>
            <w:pPr>
              <w:spacing w:line="240" w:lineRule="auto" w:before="40" w:after="40"/>
            </w:pPr>
            <w:r>
              <w:rPr>
                <w:color w:val="000000"/>
                <w:sz w:val="20"/>
              </w:rPr>
            </w:r>
            <w:r>
              <w:rPr>
                <w:rFonts w:ascii="Arial" w:hAnsi="Arial" w:eastAsia="Arial" w:cs="Arial"/>
                <w:color w:val="000000"/>
                <w:sz w:val="20"/>
              </w:rPr>
              <w:t>$105,000</w:t>
            </w:r>
          </w:p>
        </w:tc>
        <w:tc>
          <w:tcPr>
            <w:tcW w:type="dxa" w:w="1560"/>
          </w:tcPr>
          <w:p>
            <w:pPr>
              <w:spacing w:line="240" w:lineRule="auto" w:before="40" w:after="40"/>
            </w:pPr>
            <w:r>
              <w:rPr>
                <w:color w:val="000000"/>
                <w:sz w:val="20"/>
              </w:rPr>
            </w:r>
            <w:r>
              <w:rPr>
                <w:rFonts w:ascii="Arial" w:hAnsi="Arial" w:eastAsia="Arial" w:cs="Arial"/>
                <w:color w:val="000000"/>
                <w:sz w:val="20"/>
              </w:rPr>
              <w:t>$115,000</w:t>
            </w:r>
          </w:p>
        </w:tc>
        <w:tc>
          <w:tcPr>
            <w:tcW w:type="dxa" w:w="1560"/>
          </w:tcPr>
          <w:p>
            <w:pPr>
              <w:spacing w:line="240" w:lineRule="auto" w:before="40" w:after="40"/>
            </w:pPr>
            <w:r>
              <w:rPr>
                <w:color w:val="000000"/>
                <w:sz w:val="20"/>
              </w:rPr>
            </w:r>
            <w:r>
              <w:rPr>
                <w:rFonts w:ascii="Arial" w:hAnsi="Arial" w:eastAsia="Arial" w:cs="Arial"/>
                <w:color w:val="000000"/>
                <w:sz w:val="20"/>
              </w:rPr>
              <w:t>$125,000</w:t>
            </w:r>
          </w:p>
        </w:tc>
        <w:tc>
          <w:tcPr>
            <w:tcW w:type="dxa" w:w="1560"/>
          </w:tcPr>
          <w:p>
            <w:pPr>
              <w:spacing w:line="240" w:lineRule="auto" w:before="40" w:after="40"/>
            </w:pPr>
            <w:r>
              <w:rPr>
                <w:color w:val="000000"/>
                <w:sz w:val="20"/>
              </w:rPr>
            </w:r>
            <w:r>
              <w:rPr>
                <w:rFonts w:ascii="Arial" w:hAnsi="Arial" w:eastAsia="Arial" w:cs="Arial"/>
                <w:color w:val="000000"/>
                <w:sz w:val="20"/>
              </w:rPr>
              <w:t>$35,000 to $75,000</w:t>
            </w:r>
          </w:p>
        </w:tc>
        <w:tc>
          <w:tcPr>
            <w:tcW w:type="dxa" w:w="1560"/>
          </w:tcPr>
          <w:p>
            <w:pPr>
              <w:spacing w:line="240" w:lineRule="auto" w:before="40" w:after="40"/>
            </w:pPr>
            <w:r>
              <w:rPr>
                <w:color w:val="000000"/>
                <w:sz w:val="20"/>
              </w:rPr>
            </w:r>
            <w:r>
              <w:rPr>
                <w:rFonts w:ascii="Arial" w:hAnsi="Arial" w:eastAsia="Arial" w:cs="Arial"/>
                <w:color w:val="000000"/>
                <w:sz w:val="20"/>
              </w:rPr>
              <w:t>$140,000 to $180,000</w:t>
            </w:r>
          </w:p>
        </w:tc>
      </w:tr>
      <w:tr>
        <w:tc>
          <w:tcPr>
            <w:tcW w:type="dxa" w:w="1560"/>
          </w:tcPr>
          <w:p>
            <w:pPr>
              <w:spacing w:line="240" w:lineRule="auto" w:before="40" w:after="40"/>
            </w:pPr>
            <w:r>
              <w:rPr>
                <w:color w:val="000000"/>
                <w:sz w:val="20"/>
              </w:rPr>
            </w:r>
            <w:r>
              <w:rPr>
                <w:rFonts w:ascii="Arial" w:hAnsi="Arial" w:eastAsia="Arial" w:cs="Arial"/>
                <w:color w:val="000000"/>
                <w:sz w:val="20"/>
              </w:rPr>
              <w:t>Regional boutique</w:t>
            </w:r>
          </w:p>
        </w:tc>
        <w:tc>
          <w:tcPr>
            <w:tcW w:type="dxa" w:w="1560"/>
          </w:tcPr>
          <w:p>
            <w:pPr>
              <w:spacing w:line="240" w:lineRule="auto" w:before="40" w:after="40"/>
            </w:pPr>
            <w:r>
              <w:rPr>
                <w:color w:val="000000"/>
                <w:sz w:val="20"/>
              </w:rPr>
            </w:r>
            <w:r>
              <w:rPr>
                <w:rFonts w:ascii="Arial" w:hAnsi="Arial" w:eastAsia="Arial" w:cs="Arial"/>
                <w:color w:val="000000"/>
                <w:sz w:val="20"/>
              </w:rPr>
              <w:t>$90,000</w:t>
            </w:r>
          </w:p>
        </w:tc>
        <w:tc>
          <w:tcPr>
            <w:tcW w:type="dxa" w:w="1560"/>
          </w:tcPr>
          <w:p>
            <w:pPr>
              <w:spacing w:line="240" w:lineRule="auto" w:before="40" w:after="40"/>
            </w:pPr>
            <w:r>
              <w:rPr>
                <w:color w:val="000000"/>
                <w:sz w:val="20"/>
              </w:rPr>
            </w:r>
            <w:r>
              <w:rPr>
                <w:rFonts w:ascii="Arial" w:hAnsi="Arial" w:eastAsia="Arial" w:cs="Arial"/>
                <w:color w:val="000000"/>
                <w:sz w:val="20"/>
              </w:rPr>
              <w:t>$100,000</w:t>
            </w:r>
          </w:p>
        </w:tc>
        <w:tc>
          <w:tcPr>
            <w:tcW w:type="dxa" w:w="1560"/>
          </w:tcPr>
          <w:p>
            <w:pPr>
              <w:spacing w:line="240" w:lineRule="auto" w:before="40" w:after="40"/>
            </w:pPr>
            <w:r>
              <w:rPr>
                <w:color w:val="000000"/>
                <w:sz w:val="20"/>
              </w:rPr>
            </w:r>
            <w:r>
              <w:rPr>
                <w:rFonts w:ascii="Arial" w:hAnsi="Arial" w:eastAsia="Arial" w:cs="Arial"/>
                <w:color w:val="000000"/>
                <w:sz w:val="20"/>
              </w:rPr>
              <w:t>$110,000</w:t>
            </w:r>
          </w:p>
        </w:tc>
        <w:tc>
          <w:tcPr>
            <w:tcW w:type="dxa" w:w="1560"/>
          </w:tcPr>
          <w:p>
            <w:pPr>
              <w:spacing w:line="240" w:lineRule="auto" w:before="40" w:after="40"/>
            </w:pPr>
            <w:r>
              <w:rPr>
                <w:color w:val="000000"/>
                <w:sz w:val="20"/>
              </w:rPr>
            </w:r>
            <w:r>
              <w:rPr>
                <w:rFonts w:ascii="Arial" w:hAnsi="Arial" w:eastAsia="Arial" w:cs="Arial"/>
                <w:color w:val="000000"/>
                <w:sz w:val="20"/>
              </w:rPr>
              <w:t>$15,000 to $50,000</w:t>
            </w:r>
          </w:p>
        </w:tc>
        <w:tc>
          <w:tcPr>
            <w:tcW w:type="dxa" w:w="1560"/>
          </w:tcPr>
          <w:p>
            <w:pPr>
              <w:spacing w:line="240" w:lineRule="auto" w:before="40" w:after="40"/>
            </w:pPr>
            <w:r>
              <w:rPr>
                <w:color w:val="000000"/>
                <w:sz w:val="20"/>
              </w:rPr>
            </w:r>
            <w:r>
              <w:rPr>
                <w:rFonts w:ascii="Arial" w:hAnsi="Arial" w:eastAsia="Arial" w:cs="Arial"/>
                <w:color w:val="000000"/>
                <w:sz w:val="20"/>
              </w:rPr>
              <w:t>$105,000 to $140,000</w:t>
            </w:r>
          </w:p>
        </w:tc>
      </w:tr>
    </w:tbl>
    <w:p>
      <w:pPr/>
    </w:p>
    <w:p>
      <w:pPr>
        <w:spacing w:line="240" w:lineRule="auto"/>
        <w:jc w:val="center"/>
      </w:pPr>
      <w:r>
        <w:drawing>
          <wp:inline xmlns:a="http://schemas.openxmlformats.org/drawingml/2006/main" xmlns:pic="http://schemas.openxmlformats.org/drawingml/2006/picture">
            <wp:extent cx="5943600" cy="3362379"/>
            <wp:docPr id="1" name="Picture 1"/>
            <wp:cNvGraphicFramePr>
              <a:graphicFrameLocks noChangeAspect="1"/>
            </wp:cNvGraphicFramePr>
            <a:graphic>
              <a:graphicData uri="http://schemas.openxmlformats.org/drawingml/2006/picture">
                <pic:pic>
                  <pic:nvPicPr>
                    <pic:cNvPr id="0" name="01-first-year-base-by-tier.png"/>
                    <pic:cNvPicPr/>
                  </pic:nvPicPr>
                  <pic:blipFill>
                    <a:blip r:embed="rId9"/>
                    <a:stretch>
                      <a:fillRect/>
                    </a:stretch>
                  </pic:blipFill>
                  <pic:spPr>
                    <a:xfrm>
                      <a:off x="0" y="0"/>
                      <a:ext cx="5943600" cy="3362379"/>
                    </a:xfrm>
                    <a:prstGeom prst="rect"/>
                  </pic:spPr>
                </pic:pic>
              </a:graphicData>
            </a:graphic>
          </wp:inline>
        </w:drawing>
      </w:r>
    </w:p>
    <w:p>
      <w:pPr>
        <w:jc w:val="center"/>
      </w:pPr>
      <w:r>
        <w:rPr>
          <w:rFonts w:ascii="Arial" w:hAnsi="Arial" w:eastAsia="Arial" w:cs="Arial"/>
          <w:i/>
          <w:sz w:val="20"/>
        </w:rPr>
        <w:t>Base is fixed by tier, from $90,000 at a regional boutique to $120,000 at an elite boutique, and the orange bonus range is where two analysts on the same base end up $55,000 apart.</w:t>
      </w:r>
    </w:p>
    <w:p>
      <w:pPr/>
    </w:p>
    <w:p>
      <w:pPr/>
      <w:r>
        <w:rPr>
          <w:rFonts w:ascii="Arial" w:hAnsi="Arial" w:eastAsia="Arial" w:cs="Arial"/>
        </w:rPr>
        <w:t>[VERIFY: bulge bracket scale from 2026 reports at Bank of America, Citi, Deutsche Bank, Morgan Stanley, UBS and Wells Fargo on the WSO 2026 analyst bonus thread ($110,000 / $125,000 / $135,000); elite boutique first-year base from Lazard and Rothschild reports on the same thread and Evercore's 2021 move to $120,000; middle market and regional ranges from Truist ($100,000), BMO and TD ($110,000) reports and WSO's February 2025 benchmarking thread; second and third-year elite boutique and middle market steps are estimates from the same sources]</w:t>
      </w:r>
    </w:p>
    <w:p>
      <w:pPr/>
    </w:p>
    <w:p>
      <w:pPr/>
      <w:r>
        <w:rPr>
          <w:rFonts w:ascii="Arial" w:hAnsi="Arial" w:eastAsia="Arial" w:cs="Arial"/>
          <w:b/>
        </w:rPr>
        <w:t>The bulge bracket scale is $110,000, $125,000 and $135,000 for the three analyst years, and it is the same at Goldman Sachs, Morgan Stanley, Bank of America, Citi, Barclays, Deutsche Bank, UBS and Wells Fargo</w:t>
      </w:r>
      <w:r>
        <w:rPr>
          <w:rFonts w:ascii="Arial" w:hAnsi="Arial" w:eastAsia="Arial" w:cs="Arial"/>
        </w:rPr>
        <w:t xml:space="preserve"> [VERIFY: Goldman and Barclays first-year bases; Goldman's $110,000 was last confirmed in the August 2026 WSG corrections log]. If a bank's analyst base is different from that scale, it is either an elite boutique paying above it or a middle market bank paying slightly below. Our breakdown of the </w:t>
      </w:r>
      <w:hyperlink r:id="rId10">
        <w:r>
          <w:rPr>
            <w:rFonts w:ascii="Arial" w:hAnsi="Arial" w:eastAsia="Arial" w:cs="Arial"/>
            <w:color w:val="0563C1"/>
            <w:u w:val="single"/>
          </w:rPr>
          <w:t xml:space="preserve">top 10 investment banks</w:t>
        </w:r>
      </w:hyperlink>
      <w:r>
        <w:rPr>
          <w:rFonts w:ascii="Arial" w:hAnsi="Arial" w:eastAsia="Arial" w:cs="Arial"/>
        </w:rPr>
        <w:t xml:space="preserve"> covers which firms sit where.</w:t>
      </w:r>
    </w:p>
    <w:p>
      <w:pPr/>
    </w:p>
    <w:p>
      <w:pPr/>
      <w:r>
        <w:rPr>
          <w:rFonts w:ascii="Arial" w:hAnsi="Arial" w:eastAsia="Arial" w:cs="Arial"/>
        </w:rPr>
        <w:t>Elite boutiques pay the most. Evercore, Lazard and Rothschild pay $120,000 to a first-year, Moelis, PJT and Perella Weinberg are reported at the same level, and Centerview is the firm everyone names as the top of the street: Wall Street Oasis's pay database shows an average total of about $225,600 across 42 Centerview analyst submissions, against about $180,100 across 240 Evercore submissions [VERIFY: Evercore, Lazard and Rothschild bases confirmed; Moelis, PJT and Perella Weinberg first-year bases; WSO company pay pages read October 2026, both averages mixing first, second and third-year analysts]. Centerview's first-year base is reported above the boutique scale, at $130,000, but only on prep sites and forums, so treat it as unconfirmed until you see an offer letter [VERIFY: Centerview first-year base, no primary source found]. Two things make the elite boutique number bigger than the base gap suggests: the bonuses run higher, and these firms pay them entirely in cash at every level, where the bulge brackets defer part of the bonus into stock once you're senior [VERIFY: M&amp;I February 2026 on elite boutique cash bonuses].</w:t>
      </w:r>
    </w:p>
    <w:p>
      <w:pPr/>
    </w:p>
    <w:p>
      <w:pPr/>
      <w:r>
        <w:rPr>
          <w:rFonts w:ascii="Arial" w:hAnsi="Arial" w:eastAsia="Arial" w:cs="Arial"/>
        </w:rPr>
        <w:t xml:space="preserve">Middle market banks like Jefferies, William Blair, Houlihan Lokey, Baird, Piper Sandler and Raymond James mostly sit at $100,000 to $110,000 for a first-year, with Jefferies and William Blair having matched the $110,000 bulge bracket number back in 2021 [VERIFY: Jefferies $110,000 and William Blair $110,000 per eFinancialCareers, August 2021; current bases at Houlihan Lokey, Baird, Piper Sandler and Raymond James]. The gap at this tier is in the bonus, not the base. Our guide to the </w:t>
      </w:r>
      <w:hyperlink r:id="rId11">
        <w:r>
          <w:rPr>
            <w:rFonts w:ascii="Arial" w:hAnsi="Arial" w:eastAsia="Arial" w:cs="Arial"/>
            <w:color w:val="0563C1"/>
            <w:u w:val="single"/>
          </w:rPr>
          <w:t xml:space="preserve">top middle market investment banks</w:t>
        </w:r>
      </w:hyperlink>
      <w:r>
        <w:rPr>
          <w:rFonts w:ascii="Arial" w:hAnsi="Arial" w:eastAsia="Arial" w:cs="Arial"/>
        </w:rPr>
        <w:t xml:space="preserve"> goes through the firms.</w:t>
      </w:r>
    </w:p>
    <w:p>
      <w:pPr/>
    </w:p>
    <w:p>
      <w:pPr/>
      <w:r>
        <w:rPr>
          <w:rFonts w:ascii="Arial" w:hAnsi="Arial" w:eastAsia="Arial" w:cs="Arial"/>
        </w:rPr>
        <w:t>Regional boutiques are the wide tier. A five-person M&amp;A shop in Nashville might pay $75,000 and a $15,000 bonus; a strong regional firm might pay $95,000 and $40,000 [VERIFY: WSO February 2025 benchmarking thread put the boutique median at $95,000 base and $40,000 bonus]. Nobody publishes these, so ask the analyst you're networking with directly, and ask for the bonus range as well as the base.</w:t>
      </w:r>
    </w:p>
    <w:p>
      <w:pPr/>
    </w:p>
    <w:p>
      <w:pPr/>
      <w:r>
        <w:rPr>
          <w:rFonts w:ascii="Arial" w:hAnsi="Arial" w:eastAsia="Arial" w:cs="Arial"/>
          <w:b/>
        </w:rPr>
        <w:t>Analyst base salaries jumped in 2021 and 2022 and have been flat since, so the base you'll be offered for 2027 is almost certainly the base the 2026 class got.</w:t>
      </w:r>
      <w:r>
        <w:rPr>
          <w:rFonts w:ascii="Arial" w:hAnsi="Arial" w:eastAsia="Arial" w:cs="Arial"/>
        </w:rPr>
        <w:t xml:space="preserve"> The 2021 story is in section 10. The flat part is simpler: deal activity dropped in 2022 and 2023, hiring in competing industries went cold, and banks stopped feeling pressure to raise junior pay [VERIFY: Mergers &amp; Inquisitions, February 2026, on bases last adjusted in 2022 and the 2022 to 2023 slowdown]. Mergers &amp; Inquisitions' February 2026 report puts the analyst base range at $100,000 to $125,000 and all-in at $165,000 to $225,000 across the large banks, which matches the per-bank reports above [VERIFY: M&amp;I February 2026 table, 25th to 75th percentile, New York front office].</w:t>
      </w:r>
    </w:p>
    <w:p>
      <w:pPr/>
    </w:p>
    <w:p>
      <w:pPr>
        <w:pStyle w:val="Heading2"/>
      </w:pPr>
      <w:r>
        <w:rPr>
          <w:rFonts w:ascii="Arial" w:hAnsi="Arial" w:eastAsia="Arial" w:cs="Arial"/>
        </w:rPr>
        <w:t>3. The bonus is where two analysts with the same base end up $55,000 apart</w:t>
      </w:r>
    </w:p>
    <w:p>
      <w:pPr/>
      <w:r>
        <w:rPr>
          <w:rFonts w:ascii="Arial" w:hAnsi="Arial" w:eastAsia="Arial" w:cs="Arial"/>
        </w:rPr>
        <w:t>Base is the same for everyone in your class. The bonus is not, and the mechanism that decides it is worth understanding before you start, because it's the one part of your pay you can influence.</w:t>
      </w:r>
    </w:p>
    <w:p>
      <w:pPr/>
    </w:p>
    <w:p>
      <w:pPr/>
      <w:r>
        <w:rPr>
          <w:rFonts w:ascii="Arial" w:hAnsi="Arial" w:eastAsia="Arial" w:cs="Arial"/>
        </w:rPr>
        <w:t>Here is how a bank gets from "the year ended" to "your bonus is $75,000."</w:t>
      </w:r>
    </w:p>
    <w:p>
      <w:pPr/>
    </w:p>
    <w:p>
      <w:pPr/>
      <w:r>
        <w:rPr>
          <w:rFonts w:ascii="Arial" w:hAnsi="Arial" w:eastAsia="Arial" w:cs="Arial"/>
        </w:rPr>
        <w:t>First, the bank sets a bonus pool. Banks budget total compensation as a share of revenue, a number called the comp ratio. Goldman Sachs paid $18.9 billion of compensation on $58.3 billion of revenue in 2025, a ratio of 32.4 percent [VERIFY: Goldman Sachs 2025 full-year results, 8-K exhibit filed January 2026]. Each division gets a slice of that budget, investment banking gets a slice of the division's, and the junior pool is carved out of that. A strong year for the bank makes every pool bigger; a weak year shrinks all of them before anyone looks at your performance.</w:t>
      </w:r>
    </w:p>
    <w:p>
      <w:pPr/>
    </w:p>
    <w:p>
      <w:pPr/>
      <w:r>
        <w:rPr>
          <w:rFonts w:ascii="Arial" w:hAnsi="Arial" w:eastAsia="Arial" w:cs="Arial"/>
        </w:rPr>
        <w:t>Second, your group ranks you. Associates and vice presidents you worked with fill out reviews. Staffers add their view of how much work you took and how often you got pulled onto live deals. Group heads then sort the first-year class into buckets, usually three or four: top, upper-middle, middle, bottom. Some banks label them with numbers, which is why you'll see "1/1" and "3/3" in bonus threads [VERIFY: bucket labels as reported on the WSO 2026 thread]. The buckets are relative. If your whole class is strong, someone still lands in the bottom one.</w:t>
      </w:r>
    </w:p>
    <w:p>
      <w:pPr/>
    </w:p>
    <w:p>
      <w:pPr/>
      <w:r>
        <w:rPr>
          <w:rFonts w:ascii="Arial" w:hAnsi="Arial" w:eastAsia="Arial" w:cs="Arial"/>
        </w:rPr>
        <w:t>Third, each bucket gets a number. In the Summer 2026 season, the reported first-year numbers at bulge brackets ran about $45,000 for the bottom bucket, $65,000 to $80,000 for the middle buckets, and $95,000 to $100,000 for the top, at Bank of America and Citi specifically [VERIFY: Bank of America first-year reports of $45,000 / $65,000 / $75,000 / $80,000 / $95,000 and Citi reports of $45,000 to $50,000 middle and $80,000 to $100,000 top, WSO 2026 thread]. Deutsche Bank's bottom bucket was reported at $20,000 and its top at $80,000, and Morgan Stanley's regional coverage middle bucket at $55,000, so the spread between banks inside the bulge bracket is real [VERIFY: Deutsche Bank and Morgan Stanley first-year reports, same thread]. At the elite boutiques, Lazard first-years reported $60,000 to $75,000 on a $120,000 base and Moelis first-years $75,000 to $90,000 [VERIFY: Lazard and Moelis reports, same thread].</w:t>
      </w:r>
    </w:p>
    <w:p>
      <w:pPr/>
    </w:p>
    <w:p>
      <w:pPr/>
      <w:r>
        <w:rPr>
          <w:rFonts w:ascii="Arial" w:hAnsi="Arial" w:eastAsia="Arial" w:cs="Arial"/>
          <w:b/>
        </w:rPr>
        <w:t>The same $110,000 base produced first-year bonuses from $45,000 to $100,000 in 2026, which is a $55,000 gap in gross pay and a $33,677 gap in take-home.</w:t>
      </w:r>
      <w:r>
        <w:rPr>
          <w:rFonts w:ascii="Arial" w:hAnsi="Arial" w:eastAsia="Arial" w:cs="Arial"/>
        </w:rPr>
        <w:t xml:space="preserve"> Here's what the buckets look like after New York taxes, using the tax engine from section 4.</w:t>
      </w:r>
    </w:p>
    <w:p>
      <w:pP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before="40" w:after="40"/>
            </w:pPr>
            <w:r>
              <w:rPr>
                <w:color w:val="000000"/>
                <w:sz w:val="20"/>
              </w:rPr>
            </w:r>
            <w:r>
              <w:rPr>
                <w:rFonts w:ascii="Arial" w:hAnsi="Arial" w:eastAsia="Arial" w:cs="Arial"/>
                <w:b/>
                <w:color w:val="000000"/>
                <w:sz w:val="20"/>
              </w:rPr>
              <w:t>Case</w:t>
            </w:r>
          </w:p>
        </w:tc>
        <w:tc>
          <w:tcPr>
            <w:tcW w:type="dxa" w:w="1170"/>
          </w:tcPr>
          <w:p>
            <w:pPr>
              <w:spacing w:line="240" w:lineRule="auto" w:before="40" w:after="40"/>
            </w:pPr>
            <w:r>
              <w:rPr>
                <w:color w:val="000000"/>
                <w:sz w:val="20"/>
              </w:rPr>
            </w:r>
            <w:r>
              <w:rPr>
                <w:rFonts w:ascii="Arial" w:hAnsi="Arial" w:eastAsia="Arial" w:cs="Arial"/>
                <w:b/>
                <w:color w:val="000000"/>
                <w:sz w:val="20"/>
              </w:rPr>
              <w:t>Base</w:t>
            </w:r>
          </w:p>
        </w:tc>
        <w:tc>
          <w:tcPr>
            <w:tcW w:type="dxa" w:w="1170"/>
          </w:tcPr>
          <w:p>
            <w:pPr>
              <w:spacing w:line="240" w:lineRule="auto" w:before="40" w:after="40"/>
            </w:pPr>
            <w:r>
              <w:rPr>
                <w:color w:val="000000"/>
                <w:sz w:val="20"/>
              </w:rPr>
            </w:r>
            <w:r>
              <w:rPr>
                <w:rFonts w:ascii="Arial" w:hAnsi="Arial" w:eastAsia="Arial" w:cs="Arial"/>
                <w:b/>
                <w:color w:val="000000"/>
                <w:sz w:val="20"/>
              </w:rPr>
              <w:t>Bonus</w:t>
            </w:r>
          </w:p>
        </w:tc>
        <w:tc>
          <w:tcPr>
            <w:tcW w:type="dxa" w:w="1170"/>
          </w:tcPr>
          <w:p>
            <w:pPr>
              <w:spacing w:line="240" w:lineRule="auto" w:before="40" w:after="40"/>
            </w:pPr>
            <w:r>
              <w:rPr>
                <w:color w:val="000000"/>
                <w:sz w:val="20"/>
              </w:rPr>
            </w:r>
            <w:r>
              <w:rPr>
                <w:rFonts w:ascii="Arial" w:hAnsi="Arial" w:eastAsia="Arial" w:cs="Arial"/>
                <w:b/>
                <w:color w:val="000000"/>
                <w:sz w:val="20"/>
              </w:rPr>
              <w:t>All-in</w:t>
            </w:r>
          </w:p>
        </w:tc>
        <w:tc>
          <w:tcPr>
            <w:tcW w:type="dxa" w:w="1170"/>
          </w:tcPr>
          <w:p>
            <w:pPr>
              <w:spacing w:line="240" w:lineRule="auto" w:before="40" w:after="40"/>
            </w:pPr>
            <w:r>
              <w:rPr>
                <w:color w:val="000000"/>
                <w:sz w:val="20"/>
              </w:rPr>
            </w:r>
            <w:r>
              <w:rPr>
                <w:rFonts w:ascii="Arial" w:hAnsi="Arial" w:eastAsia="Arial" w:cs="Arial"/>
                <w:b/>
                <w:color w:val="000000"/>
                <w:sz w:val="20"/>
              </w:rPr>
              <w:t>Total taxes</w:t>
            </w:r>
          </w:p>
        </w:tc>
        <w:tc>
          <w:tcPr>
            <w:tcW w:type="dxa" w:w="1170"/>
          </w:tcPr>
          <w:p>
            <w:pPr>
              <w:spacing w:line="240" w:lineRule="auto" w:before="40" w:after="40"/>
            </w:pPr>
            <w:r>
              <w:rPr>
                <w:color w:val="000000"/>
                <w:sz w:val="20"/>
              </w:rPr>
            </w:r>
            <w:r>
              <w:rPr>
                <w:rFonts w:ascii="Arial" w:hAnsi="Arial" w:eastAsia="Arial" w:cs="Arial"/>
                <w:b/>
                <w:color w:val="000000"/>
                <w:sz w:val="20"/>
              </w:rPr>
              <w:t>Take-home</w:t>
            </w:r>
          </w:p>
        </w:tc>
        <w:tc>
          <w:tcPr>
            <w:tcW w:type="dxa" w:w="1170"/>
          </w:tcPr>
          <w:p>
            <w:pPr>
              <w:spacing w:line="240" w:lineRule="auto" w:before="40" w:after="40"/>
            </w:pPr>
            <w:r>
              <w:rPr>
                <w:color w:val="000000"/>
                <w:sz w:val="20"/>
              </w:rPr>
            </w:r>
            <w:r>
              <w:rPr>
                <w:rFonts w:ascii="Arial" w:hAnsi="Arial" w:eastAsia="Arial" w:cs="Arial"/>
                <w:b/>
                <w:color w:val="000000"/>
                <w:sz w:val="20"/>
              </w:rPr>
              <w:t>Effective rate</w:t>
            </w:r>
          </w:p>
        </w:tc>
        <w:tc>
          <w:tcPr>
            <w:tcW w:type="dxa" w:w="1170"/>
          </w:tcPr>
          <w:p>
            <w:pPr>
              <w:spacing w:line="240" w:lineRule="auto" w:before="40" w:after="40"/>
            </w:pPr>
            <w:r>
              <w:rPr>
                <w:color w:val="000000"/>
                <w:sz w:val="20"/>
              </w:rPr>
            </w:r>
            <w:r>
              <w:rPr>
                <w:rFonts w:ascii="Arial" w:hAnsi="Arial" w:eastAsia="Arial" w:cs="Arial"/>
                <w:b/>
                <w:color w:val="000000"/>
                <w:sz w:val="20"/>
              </w:rPr>
              <w:t>Per month</w:t>
            </w:r>
          </w:p>
        </w:tc>
      </w:tr>
      <w:tr>
        <w:tc>
          <w:tcPr>
            <w:tcW w:type="dxa" w:w="1170"/>
          </w:tcPr>
          <w:p>
            <w:pPr>
              <w:spacing w:line="240" w:lineRule="auto" w:before="40" w:after="40"/>
            </w:pPr>
            <w:r>
              <w:rPr>
                <w:color w:val="000000"/>
                <w:sz w:val="20"/>
              </w:rPr>
            </w:r>
            <w:r>
              <w:rPr>
                <w:rFonts w:ascii="Arial" w:hAnsi="Arial" w:eastAsia="Arial" w:cs="Arial"/>
                <w:color w:val="000000"/>
                <w:sz w:val="20"/>
              </w:rPr>
              <w:t>Bulge bracket, bottom bucket</w:t>
            </w:r>
          </w:p>
        </w:tc>
        <w:tc>
          <w:tcPr>
            <w:tcW w:type="dxa" w:w="1170"/>
          </w:tcPr>
          <w:p>
            <w:pPr>
              <w:spacing w:line="240" w:lineRule="auto" w:before="40" w:after="40"/>
            </w:pPr>
            <w:r>
              <w:rPr>
                <w:color w:val="000000"/>
                <w:sz w:val="20"/>
              </w:rPr>
            </w:r>
            <w:r>
              <w:rPr>
                <w:rFonts w:ascii="Arial" w:hAnsi="Arial" w:eastAsia="Arial" w:cs="Arial"/>
                <w:color w:val="000000"/>
                <w:sz w:val="20"/>
              </w:rPr>
              <w:t>$110,000</w:t>
            </w:r>
          </w:p>
        </w:tc>
        <w:tc>
          <w:tcPr>
            <w:tcW w:type="dxa" w:w="1170"/>
          </w:tcPr>
          <w:p>
            <w:pPr>
              <w:spacing w:line="240" w:lineRule="auto" w:before="40" w:after="40"/>
            </w:pPr>
            <w:r>
              <w:rPr>
                <w:color w:val="000000"/>
                <w:sz w:val="20"/>
              </w:rPr>
            </w:r>
            <w:r>
              <w:rPr>
                <w:rFonts w:ascii="Arial" w:hAnsi="Arial" w:eastAsia="Arial" w:cs="Arial"/>
                <w:color w:val="000000"/>
                <w:sz w:val="20"/>
              </w:rPr>
              <w:t>$45,000</w:t>
            </w:r>
          </w:p>
        </w:tc>
        <w:tc>
          <w:tcPr>
            <w:tcW w:type="dxa" w:w="1170"/>
          </w:tcPr>
          <w:p>
            <w:pPr>
              <w:spacing w:line="240" w:lineRule="auto" w:before="40" w:after="40"/>
            </w:pPr>
            <w:r>
              <w:rPr>
                <w:color w:val="000000"/>
                <w:sz w:val="20"/>
              </w:rPr>
            </w:r>
            <w:r>
              <w:rPr>
                <w:rFonts w:ascii="Arial" w:hAnsi="Arial" w:eastAsia="Arial" w:cs="Arial"/>
                <w:color w:val="000000"/>
                <w:sz w:val="20"/>
              </w:rPr>
              <w:t>$155,000</w:t>
            </w:r>
          </w:p>
        </w:tc>
        <w:tc>
          <w:tcPr>
            <w:tcW w:type="dxa" w:w="1170"/>
          </w:tcPr>
          <w:p>
            <w:pPr>
              <w:spacing w:line="240" w:lineRule="auto" w:before="40" w:after="40"/>
            </w:pPr>
            <w:r>
              <w:rPr>
                <w:color w:val="000000"/>
                <w:sz w:val="20"/>
              </w:rPr>
            </w:r>
            <w:r>
              <w:rPr>
                <w:rFonts w:ascii="Arial" w:hAnsi="Arial" w:eastAsia="Arial" w:cs="Arial"/>
                <w:color w:val="000000"/>
                <w:sz w:val="20"/>
              </w:rPr>
              <w:t>$52,007</w:t>
            </w:r>
          </w:p>
        </w:tc>
        <w:tc>
          <w:tcPr>
            <w:tcW w:type="dxa" w:w="1170"/>
          </w:tcPr>
          <w:p>
            <w:pPr>
              <w:spacing w:line="240" w:lineRule="auto" w:before="40" w:after="40"/>
            </w:pPr>
            <w:r>
              <w:rPr>
                <w:color w:val="000000"/>
                <w:sz w:val="20"/>
              </w:rPr>
            </w:r>
            <w:r>
              <w:rPr>
                <w:rFonts w:ascii="Arial" w:hAnsi="Arial" w:eastAsia="Arial" w:cs="Arial"/>
                <w:color w:val="000000"/>
                <w:sz w:val="20"/>
              </w:rPr>
              <w:t>$102,993</w:t>
            </w:r>
          </w:p>
        </w:tc>
        <w:tc>
          <w:tcPr>
            <w:tcW w:type="dxa" w:w="1170"/>
          </w:tcPr>
          <w:p>
            <w:pPr>
              <w:spacing w:line="240" w:lineRule="auto" w:before="40" w:after="40"/>
            </w:pPr>
            <w:r>
              <w:rPr>
                <w:color w:val="000000"/>
                <w:sz w:val="20"/>
              </w:rPr>
            </w:r>
            <w:r>
              <w:rPr>
                <w:rFonts w:ascii="Arial" w:hAnsi="Arial" w:eastAsia="Arial" w:cs="Arial"/>
                <w:color w:val="000000"/>
                <w:sz w:val="20"/>
              </w:rPr>
              <w:t>33.6%</w:t>
            </w:r>
          </w:p>
        </w:tc>
        <w:tc>
          <w:tcPr>
            <w:tcW w:type="dxa" w:w="1170"/>
          </w:tcPr>
          <w:p>
            <w:pPr>
              <w:spacing w:line="240" w:lineRule="auto" w:before="40" w:after="40"/>
            </w:pPr>
            <w:r>
              <w:rPr>
                <w:color w:val="000000"/>
                <w:sz w:val="20"/>
              </w:rPr>
            </w:r>
            <w:r>
              <w:rPr>
                <w:rFonts w:ascii="Arial" w:hAnsi="Arial" w:eastAsia="Arial" w:cs="Arial"/>
                <w:color w:val="000000"/>
                <w:sz w:val="20"/>
              </w:rPr>
              <w:t>$8,583</w:t>
            </w:r>
          </w:p>
        </w:tc>
      </w:tr>
      <w:tr>
        <w:tc>
          <w:tcPr>
            <w:tcW w:type="dxa" w:w="1170"/>
          </w:tcPr>
          <w:p>
            <w:pPr>
              <w:spacing w:line="240" w:lineRule="auto" w:before="40" w:after="40"/>
            </w:pPr>
            <w:r>
              <w:rPr>
                <w:color w:val="000000"/>
                <w:sz w:val="20"/>
              </w:rPr>
            </w:r>
            <w:r>
              <w:rPr>
                <w:rFonts w:ascii="Arial" w:hAnsi="Arial" w:eastAsia="Arial" w:cs="Arial"/>
                <w:color w:val="000000"/>
                <w:sz w:val="20"/>
              </w:rPr>
              <w:t>Bulge bracket, middle bucket</w:t>
            </w:r>
          </w:p>
        </w:tc>
        <w:tc>
          <w:tcPr>
            <w:tcW w:type="dxa" w:w="1170"/>
          </w:tcPr>
          <w:p>
            <w:pPr>
              <w:spacing w:line="240" w:lineRule="auto" w:before="40" w:after="40"/>
            </w:pPr>
            <w:r>
              <w:rPr>
                <w:color w:val="000000"/>
                <w:sz w:val="20"/>
              </w:rPr>
            </w:r>
            <w:r>
              <w:rPr>
                <w:rFonts w:ascii="Arial" w:hAnsi="Arial" w:eastAsia="Arial" w:cs="Arial"/>
                <w:color w:val="000000"/>
                <w:sz w:val="20"/>
              </w:rPr>
              <w:t>$110,000</w:t>
            </w:r>
          </w:p>
        </w:tc>
        <w:tc>
          <w:tcPr>
            <w:tcW w:type="dxa" w:w="1170"/>
          </w:tcPr>
          <w:p>
            <w:pPr>
              <w:spacing w:line="240" w:lineRule="auto" w:before="40" w:after="40"/>
            </w:pPr>
            <w:r>
              <w:rPr>
                <w:color w:val="000000"/>
                <w:sz w:val="20"/>
              </w:rPr>
            </w:r>
            <w:r>
              <w:rPr>
                <w:rFonts w:ascii="Arial" w:hAnsi="Arial" w:eastAsia="Arial" w:cs="Arial"/>
                <w:color w:val="000000"/>
                <w:sz w:val="20"/>
              </w:rPr>
              <w:t>$75,000</w:t>
            </w:r>
          </w:p>
        </w:tc>
        <w:tc>
          <w:tcPr>
            <w:tcW w:type="dxa" w:w="1170"/>
          </w:tcPr>
          <w:p>
            <w:pPr>
              <w:spacing w:line="240" w:lineRule="auto" w:before="40" w:after="40"/>
            </w:pPr>
            <w:r>
              <w:rPr>
                <w:color w:val="000000"/>
                <w:sz w:val="20"/>
              </w:rPr>
            </w:r>
            <w:r>
              <w:rPr>
                <w:rFonts w:ascii="Arial" w:hAnsi="Arial" w:eastAsia="Arial" w:cs="Arial"/>
                <w:color w:val="000000"/>
                <w:sz w:val="20"/>
              </w:rPr>
              <w:t>$185,000</w:t>
            </w:r>
          </w:p>
        </w:tc>
        <w:tc>
          <w:tcPr>
            <w:tcW w:type="dxa" w:w="1170"/>
          </w:tcPr>
          <w:p>
            <w:pPr>
              <w:spacing w:line="240" w:lineRule="auto" w:before="40" w:after="40"/>
            </w:pPr>
            <w:r>
              <w:rPr>
                <w:color w:val="000000"/>
                <w:sz w:val="20"/>
              </w:rPr>
            </w:r>
            <w:r>
              <w:rPr>
                <w:rFonts w:ascii="Arial" w:hAnsi="Arial" w:eastAsia="Arial" w:cs="Arial"/>
                <w:color w:val="000000"/>
                <w:sz w:val="20"/>
              </w:rPr>
              <w:t>$64,434</w:t>
            </w:r>
          </w:p>
        </w:tc>
        <w:tc>
          <w:tcPr>
            <w:tcW w:type="dxa" w:w="1170"/>
          </w:tcPr>
          <w:p>
            <w:pPr>
              <w:spacing w:line="240" w:lineRule="auto" w:before="40" w:after="40"/>
            </w:pPr>
            <w:r>
              <w:rPr>
                <w:color w:val="000000"/>
                <w:sz w:val="20"/>
              </w:rPr>
            </w:r>
            <w:r>
              <w:rPr>
                <w:rFonts w:ascii="Arial" w:hAnsi="Arial" w:eastAsia="Arial" w:cs="Arial"/>
                <w:color w:val="000000"/>
                <w:sz w:val="20"/>
              </w:rPr>
              <w:t>$120,566</w:t>
            </w:r>
          </w:p>
        </w:tc>
        <w:tc>
          <w:tcPr>
            <w:tcW w:type="dxa" w:w="1170"/>
          </w:tcPr>
          <w:p>
            <w:pPr>
              <w:spacing w:line="240" w:lineRule="auto" w:before="40" w:after="40"/>
            </w:pPr>
            <w:r>
              <w:rPr>
                <w:color w:val="000000"/>
                <w:sz w:val="20"/>
              </w:rPr>
            </w:r>
            <w:r>
              <w:rPr>
                <w:rFonts w:ascii="Arial" w:hAnsi="Arial" w:eastAsia="Arial" w:cs="Arial"/>
                <w:color w:val="000000"/>
                <w:sz w:val="20"/>
              </w:rPr>
              <w:t>34.8%</w:t>
            </w:r>
          </w:p>
        </w:tc>
        <w:tc>
          <w:tcPr>
            <w:tcW w:type="dxa" w:w="1170"/>
          </w:tcPr>
          <w:p>
            <w:pPr>
              <w:spacing w:line="240" w:lineRule="auto" w:before="40" w:after="40"/>
            </w:pPr>
            <w:r>
              <w:rPr>
                <w:color w:val="000000"/>
                <w:sz w:val="20"/>
              </w:rPr>
            </w:r>
            <w:r>
              <w:rPr>
                <w:rFonts w:ascii="Arial" w:hAnsi="Arial" w:eastAsia="Arial" w:cs="Arial"/>
                <w:color w:val="000000"/>
                <w:sz w:val="20"/>
              </w:rPr>
              <w:t>$10,047</w:t>
            </w:r>
          </w:p>
        </w:tc>
      </w:tr>
      <w:tr>
        <w:tc>
          <w:tcPr>
            <w:tcW w:type="dxa" w:w="1170"/>
          </w:tcPr>
          <w:p>
            <w:pPr>
              <w:spacing w:line="240" w:lineRule="auto" w:before="40" w:after="40"/>
            </w:pPr>
            <w:r>
              <w:rPr>
                <w:color w:val="000000"/>
                <w:sz w:val="20"/>
              </w:rPr>
            </w:r>
            <w:r>
              <w:rPr>
                <w:rFonts w:ascii="Arial" w:hAnsi="Arial" w:eastAsia="Arial" w:cs="Arial"/>
                <w:color w:val="000000"/>
                <w:sz w:val="20"/>
              </w:rPr>
              <w:t>Bulge bracket, top bucket</w:t>
            </w:r>
          </w:p>
        </w:tc>
        <w:tc>
          <w:tcPr>
            <w:tcW w:type="dxa" w:w="1170"/>
          </w:tcPr>
          <w:p>
            <w:pPr>
              <w:spacing w:line="240" w:lineRule="auto" w:before="40" w:after="40"/>
            </w:pPr>
            <w:r>
              <w:rPr>
                <w:color w:val="000000"/>
                <w:sz w:val="20"/>
              </w:rPr>
            </w:r>
            <w:r>
              <w:rPr>
                <w:rFonts w:ascii="Arial" w:hAnsi="Arial" w:eastAsia="Arial" w:cs="Arial"/>
                <w:color w:val="000000"/>
                <w:sz w:val="20"/>
              </w:rPr>
              <w:t>$110,000</w:t>
            </w:r>
          </w:p>
        </w:tc>
        <w:tc>
          <w:tcPr>
            <w:tcW w:type="dxa" w:w="1170"/>
          </w:tcPr>
          <w:p>
            <w:pPr>
              <w:spacing w:line="240" w:lineRule="auto" w:before="40" w:after="40"/>
            </w:pPr>
            <w:r>
              <w:rPr>
                <w:color w:val="000000"/>
                <w:sz w:val="20"/>
              </w:rPr>
            </w:r>
            <w:r>
              <w:rPr>
                <w:rFonts w:ascii="Arial" w:hAnsi="Arial" w:eastAsia="Arial" w:cs="Arial"/>
                <w:color w:val="000000"/>
                <w:sz w:val="20"/>
              </w:rPr>
              <w:t>$100,000</w:t>
            </w:r>
          </w:p>
        </w:tc>
        <w:tc>
          <w:tcPr>
            <w:tcW w:type="dxa" w:w="1170"/>
          </w:tcPr>
          <w:p>
            <w:pPr>
              <w:spacing w:line="240" w:lineRule="auto" w:before="40" w:after="40"/>
            </w:pPr>
            <w:r>
              <w:rPr>
                <w:color w:val="000000"/>
                <w:sz w:val="20"/>
              </w:rPr>
            </w:r>
            <w:r>
              <w:rPr>
                <w:rFonts w:ascii="Arial" w:hAnsi="Arial" w:eastAsia="Arial" w:cs="Arial"/>
                <w:color w:val="000000"/>
                <w:sz w:val="20"/>
              </w:rPr>
              <w:t>$210,000</w:t>
            </w:r>
          </w:p>
        </w:tc>
        <w:tc>
          <w:tcPr>
            <w:tcW w:type="dxa" w:w="1170"/>
          </w:tcPr>
          <w:p>
            <w:pPr>
              <w:spacing w:line="240" w:lineRule="auto" w:before="40" w:after="40"/>
            </w:pPr>
            <w:r>
              <w:rPr>
                <w:color w:val="000000"/>
                <w:sz w:val="20"/>
              </w:rPr>
            </w:r>
            <w:r>
              <w:rPr>
                <w:rFonts w:ascii="Arial" w:hAnsi="Arial" w:eastAsia="Arial" w:cs="Arial"/>
                <w:color w:val="000000"/>
                <w:sz w:val="20"/>
              </w:rPr>
              <w:t>$73,331</w:t>
            </w:r>
          </w:p>
        </w:tc>
        <w:tc>
          <w:tcPr>
            <w:tcW w:type="dxa" w:w="1170"/>
          </w:tcPr>
          <w:p>
            <w:pPr>
              <w:spacing w:line="240" w:lineRule="auto" w:before="40" w:after="40"/>
            </w:pPr>
            <w:r>
              <w:rPr>
                <w:color w:val="000000"/>
                <w:sz w:val="20"/>
              </w:rPr>
            </w:r>
            <w:r>
              <w:rPr>
                <w:rFonts w:ascii="Arial" w:hAnsi="Arial" w:eastAsia="Arial" w:cs="Arial"/>
                <w:color w:val="000000"/>
                <w:sz w:val="20"/>
              </w:rPr>
              <w:t>$136,669</w:t>
            </w:r>
          </w:p>
        </w:tc>
        <w:tc>
          <w:tcPr>
            <w:tcW w:type="dxa" w:w="1170"/>
          </w:tcPr>
          <w:p>
            <w:pPr>
              <w:spacing w:line="240" w:lineRule="auto" w:before="40" w:after="40"/>
            </w:pPr>
            <w:r>
              <w:rPr>
                <w:color w:val="000000"/>
                <w:sz w:val="20"/>
              </w:rPr>
            </w:r>
            <w:r>
              <w:rPr>
                <w:rFonts w:ascii="Arial" w:hAnsi="Arial" w:eastAsia="Arial" w:cs="Arial"/>
                <w:color w:val="000000"/>
                <w:sz w:val="20"/>
              </w:rPr>
              <w:t>34.9%</w:t>
            </w:r>
          </w:p>
        </w:tc>
        <w:tc>
          <w:tcPr>
            <w:tcW w:type="dxa" w:w="1170"/>
          </w:tcPr>
          <w:p>
            <w:pPr>
              <w:spacing w:line="240" w:lineRule="auto" w:before="40" w:after="40"/>
            </w:pPr>
            <w:r>
              <w:rPr>
                <w:color w:val="000000"/>
                <w:sz w:val="20"/>
              </w:rPr>
            </w:r>
            <w:r>
              <w:rPr>
                <w:rFonts w:ascii="Arial" w:hAnsi="Arial" w:eastAsia="Arial" w:cs="Arial"/>
                <w:color w:val="000000"/>
                <w:sz w:val="20"/>
              </w:rPr>
              <w:t>$11,389</w:t>
            </w:r>
          </w:p>
        </w:tc>
      </w:tr>
      <w:tr>
        <w:tc>
          <w:tcPr>
            <w:tcW w:type="dxa" w:w="1170"/>
          </w:tcPr>
          <w:p>
            <w:pPr>
              <w:spacing w:line="240" w:lineRule="auto" w:before="40" w:after="40"/>
            </w:pPr>
            <w:r>
              <w:rPr>
                <w:color w:val="000000"/>
                <w:sz w:val="20"/>
              </w:rPr>
            </w:r>
            <w:r>
              <w:rPr>
                <w:rFonts w:ascii="Arial" w:hAnsi="Arial" w:eastAsia="Arial" w:cs="Arial"/>
                <w:color w:val="000000"/>
                <w:sz w:val="20"/>
              </w:rPr>
              <w:t>Elite boutique, middle bucket</w:t>
            </w:r>
          </w:p>
        </w:tc>
        <w:tc>
          <w:tcPr>
            <w:tcW w:type="dxa" w:w="1170"/>
          </w:tcPr>
          <w:p>
            <w:pPr>
              <w:spacing w:line="240" w:lineRule="auto" w:before="40" w:after="40"/>
            </w:pPr>
            <w:r>
              <w:rPr>
                <w:color w:val="000000"/>
                <w:sz w:val="20"/>
              </w:rPr>
            </w:r>
            <w:r>
              <w:rPr>
                <w:rFonts w:ascii="Arial" w:hAnsi="Arial" w:eastAsia="Arial" w:cs="Arial"/>
                <w:color w:val="000000"/>
                <w:sz w:val="20"/>
              </w:rPr>
              <w:t>$120,000</w:t>
            </w:r>
          </w:p>
        </w:tc>
        <w:tc>
          <w:tcPr>
            <w:tcW w:type="dxa" w:w="1170"/>
          </w:tcPr>
          <w:p>
            <w:pPr>
              <w:spacing w:line="240" w:lineRule="auto" w:before="40" w:after="40"/>
            </w:pPr>
            <w:r>
              <w:rPr>
                <w:color w:val="000000"/>
                <w:sz w:val="20"/>
              </w:rPr>
            </w:r>
            <w:r>
              <w:rPr>
                <w:rFonts w:ascii="Arial" w:hAnsi="Arial" w:eastAsia="Arial" w:cs="Arial"/>
                <w:color w:val="000000"/>
                <w:sz w:val="20"/>
              </w:rPr>
              <w:t>$80,000</w:t>
            </w:r>
          </w:p>
        </w:tc>
        <w:tc>
          <w:tcPr>
            <w:tcW w:type="dxa" w:w="1170"/>
          </w:tcPr>
          <w:p>
            <w:pPr>
              <w:spacing w:line="240" w:lineRule="auto" w:before="40" w:after="40"/>
            </w:pPr>
            <w:r>
              <w:rPr>
                <w:color w:val="000000"/>
                <w:sz w:val="20"/>
              </w:rPr>
            </w:r>
            <w:r>
              <w:rPr>
                <w:rFonts w:ascii="Arial" w:hAnsi="Arial" w:eastAsia="Arial" w:cs="Arial"/>
                <w:color w:val="000000"/>
                <w:sz w:val="20"/>
              </w:rPr>
              <w:t>$200,000</w:t>
            </w:r>
          </w:p>
        </w:tc>
        <w:tc>
          <w:tcPr>
            <w:tcW w:type="dxa" w:w="1170"/>
          </w:tcPr>
          <w:p>
            <w:pPr>
              <w:spacing w:line="240" w:lineRule="auto" w:before="40" w:after="40"/>
            </w:pPr>
            <w:r>
              <w:rPr>
                <w:color w:val="000000"/>
                <w:sz w:val="20"/>
              </w:rPr>
            </w:r>
            <w:r>
              <w:rPr>
                <w:rFonts w:ascii="Arial" w:hAnsi="Arial" w:eastAsia="Arial" w:cs="Arial"/>
                <w:color w:val="000000"/>
                <w:sz w:val="20"/>
              </w:rPr>
              <w:t>$69,718</w:t>
            </w:r>
          </w:p>
        </w:tc>
        <w:tc>
          <w:tcPr>
            <w:tcW w:type="dxa" w:w="1170"/>
          </w:tcPr>
          <w:p>
            <w:pPr>
              <w:spacing w:line="240" w:lineRule="auto" w:before="40" w:after="40"/>
            </w:pPr>
            <w:r>
              <w:rPr>
                <w:color w:val="000000"/>
                <w:sz w:val="20"/>
              </w:rPr>
            </w:r>
            <w:r>
              <w:rPr>
                <w:rFonts w:ascii="Arial" w:hAnsi="Arial" w:eastAsia="Arial" w:cs="Arial"/>
                <w:color w:val="000000"/>
                <w:sz w:val="20"/>
              </w:rPr>
              <w:t>$130,282</w:t>
            </w:r>
          </w:p>
        </w:tc>
        <w:tc>
          <w:tcPr>
            <w:tcW w:type="dxa" w:w="1170"/>
          </w:tcPr>
          <w:p>
            <w:pPr>
              <w:spacing w:line="240" w:lineRule="auto" w:before="40" w:after="40"/>
            </w:pPr>
            <w:r>
              <w:rPr>
                <w:color w:val="000000"/>
                <w:sz w:val="20"/>
              </w:rPr>
            </w:r>
            <w:r>
              <w:rPr>
                <w:rFonts w:ascii="Arial" w:hAnsi="Arial" w:eastAsia="Arial" w:cs="Arial"/>
                <w:color w:val="000000"/>
                <w:sz w:val="20"/>
              </w:rPr>
              <w:t>34.9%</w:t>
            </w:r>
          </w:p>
        </w:tc>
        <w:tc>
          <w:tcPr>
            <w:tcW w:type="dxa" w:w="1170"/>
          </w:tcPr>
          <w:p>
            <w:pPr>
              <w:spacing w:line="240" w:lineRule="auto" w:before="40" w:after="40"/>
            </w:pPr>
            <w:r>
              <w:rPr>
                <w:color w:val="000000"/>
                <w:sz w:val="20"/>
              </w:rPr>
            </w:r>
            <w:r>
              <w:rPr>
                <w:rFonts w:ascii="Arial" w:hAnsi="Arial" w:eastAsia="Arial" w:cs="Arial"/>
                <w:color w:val="000000"/>
                <w:sz w:val="20"/>
              </w:rPr>
              <w:t>$10,857</w:t>
            </w:r>
          </w:p>
        </w:tc>
      </w:tr>
      <w:tr>
        <w:tc>
          <w:tcPr>
            <w:tcW w:type="dxa" w:w="1170"/>
          </w:tcPr>
          <w:p>
            <w:pPr>
              <w:spacing w:line="240" w:lineRule="auto" w:before="40" w:after="40"/>
            </w:pPr>
            <w:r>
              <w:rPr>
                <w:color w:val="000000"/>
                <w:sz w:val="20"/>
              </w:rPr>
            </w:r>
            <w:r>
              <w:rPr>
                <w:rFonts w:ascii="Arial" w:hAnsi="Arial" w:eastAsia="Arial" w:cs="Arial"/>
                <w:color w:val="000000"/>
                <w:sz w:val="20"/>
              </w:rPr>
              <w:t>Elite boutique, top bucket</w:t>
            </w:r>
          </w:p>
        </w:tc>
        <w:tc>
          <w:tcPr>
            <w:tcW w:type="dxa" w:w="1170"/>
          </w:tcPr>
          <w:p>
            <w:pPr>
              <w:spacing w:line="240" w:lineRule="auto" w:before="40" w:after="40"/>
            </w:pPr>
            <w:r>
              <w:rPr>
                <w:color w:val="000000"/>
                <w:sz w:val="20"/>
              </w:rPr>
            </w:r>
            <w:r>
              <w:rPr>
                <w:rFonts w:ascii="Arial" w:hAnsi="Arial" w:eastAsia="Arial" w:cs="Arial"/>
                <w:color w:val="000000"/>
                <w:sz w:val="20"/>
              </w:rPr>
              <w:t>$120,000</w:t>
            </w:r>
          </w:p>
        </w:tc>
        <w:tc>
          <w:tcPr>
            <w:tcW w:type="dxa" w:w="1170"/>
          </w:tcPr>
          <w:p>
            <w:pPr>
              <w:spacing w:line="240" w:lineRule="auto" w:before="40" w:after="40"/>
            </w:pPr>
            <w:r>
              <w:rPr>
                <w:color w:val="000000"/>
                <w:sz w:val="20"/>
              </w:rPr>
            </w:r>
            <w:r>
              <w:rPr>
                <w:rFonts w:ascii="Arial" w:hAnsi="Arial" w:eastAsia="Arial" w:cs="Arial"/>
                <w:color w:val="000000"/>
                <w:sz w:val="20"/>
              </w:rPr>
              <w:t>$110,000</w:t>
            </w:r>
          </w:p>
        </w:tc>
        <w:tc>
          <w:tcPr>
            <w:tcW w:type="dxa" w:w="1170"/>
          </w:tcPr>
          <w:p>
            <w:pPr>
              <w:spacing w:line="240" w:lineRule="auto" w:before="40" w:after="40"/>
            </w:pPr>
            <w:r>
              <w:rPr>
                <w:color w:val="000000"/>
                <w:sz w:val="20"/>
              </w:rPr>
            </w:r>
            <w:r>
              <w:rPr>
                <w:rFonts w:ascii="Arial" w:hAnsi="Arial" w:eastAsia="Arial" w:cs="Arial"/>
                <w:color w:val="000000"/>
                <w:sz w:val="20"/>
              </w:rPr>
              <w:t>$230,000</w:t>
            </w:r>
          </w:p>
        </w:tc>
        <w:tc>
          <w:tcPr>
            <w:tcW w:type="dxa" w:w="1170"/>
          </w:tcPr>
          <w:p>
            <w:pPr>
              <w:spacing w:line="240" w:lineRule="auto" w:before="40" w:after="40"/>
            </w:pPr>
            <w:r>
              <w:rPr>
                <w:color w:val="000000"/>
                <w:sz w:val="20"/>
              </w:rPr>
            </w:r>
            <w:r>
              <w:rPr>
                <w:rFonts w:ascii="Arial" w:hAnsi="Arial" w:eastAsia="Arial" w:cs="Arial"/>
                <w:color w:val="000000"/>
                <w:sz w:val="20"/>
              </w:rPr>
              <w:t>$82,185</w:t>
            </w:r>
          </w:p>
        </w:tc>
        <w:tc>
          <w:tcPr>
            <w:tcW w:type="dxa" w:w="1170"/>
          </w:tcPr>
          <w:p>
            <w:pPr>
              <w:spacing w:line="240" w:lineRule="auto" w:before="40" w:after="40"/>
            </w:pPr>
            <w:r>
              <w:rPr>
                <w:color w:val="000000"/>
                <w:sz w:val="20"/>
              </w:rPr>
            </w:r>
            <w:r>
              <w:rPr>
                <w:rFonts w:ascii="Arial" w:hAnsi="Arial" w:eastAsia="Arial" w:cs="Arial"/>
                <w:color w:val="000000"/>
                <w:sz w:val="20"/>
              </w:rPr>
              <w:t>$147,815</w:t>
            </w:r>
          </w:p>
        </w:tc>
        <w:tc>
          <w:tcPr>
            <w:tcW w:type="dxa" w:w="1170"/>
          </w:tcPr>
          <w:p>
            <w:pPr>
              <w:spacing w:line="240" w:lineRule="auto" w:before="40" w:after="40"/>
            </w:pPr>
            <w:r>
              <w:rPr>
                <w:color w:val="000000"/>
                <w:sz w:val="20"/>
              </w:rPr>
            </w:r>
            <w:r>
              <w:rPr>
                <w:rFonts w:ascii="Arial" w:hAnsi="Arial" w:eastAsia="Arial" w:cs="Arial"/>
                <w:color w:val="000000"/>
                <w:sz w:val="20"/>
              </w:rPr>
              <w:t>35.7%</w:t>
            </w:r>
          </w:p>
        </w:tc>
        <w:tc>
          <w:tcPr>
            <w:tcW w:type="dxa" w:w="1170"/>
          </w:tcPr>
          <w:p>
            <w:pPr>
              <w:spacing w:line="240" w:lineRule="auto" w:before="40" w:after="40"/>
            </w:pPr>
            <w:r>
              <w:rPr>
                <w:color w:val="000000"/>
                <w:sz w:val="20"/>
              </w:rPr>
            </w:r>
            <w:r>
              <w:rPr>
                <w:rFonts w:ascii="Arial" w:hAnsi="Arial" w:eastAsia="Arial" w:cs="Arial"/>
                <w:color w:val="000000"/>
                <w:sz w:val="20"/>
              </w:rPr>
              <w:t>$12,318</w:t>
            </w:r>
          </w:p>
        </w:tc>
      </w:tr>
      <w:tr>
        <w:tc>
          <w:tcPr>
            <w:tcW w:type="dxa" w:w="1170"/>
          </w:tcPr>
          <w:p>
            <w:pPr>
              <w:spacing w:line="240" w:lineRule="auto" w:before="40" w:after="40"/>
            </w:pPr>
            <w:r>
              <w:rPr>
                <w:color w:val="000000"/>
                <w:sz w:val="20"/>
              </w:rPr>
            </w:r>
            <w:r>
              <w:rPr>
                <w:rFonts w:ascii="Arial" w:hAnsi="Arial" w:eastAsia="Arial" w:cs="Arial"/>
                <w:color w:val="000000"/>
                <w:sz w:val="20"/>
              </w:rPr>
              <w:t>Middle market, middle bucket</w:t>
            </w:r>
          </w:p>
        </w:tc>
        <w:tc>
          <w:tcPr>
            <w:tcW w:type="dxa" w:w="1170"/>
          </w:tcPr>
          <w:p>
            <w:pPr>
              <w:spacing w:line="240" w:lineRule="auto" w:before="40" w:after="40"/>
            </w:pPr>
            <w:r>
              <w:rPr>
                <w:color w:val="000000"/>
                <w:sz w:val="20"/>
              </w:rPr>
            </w:r>
            <w:r>
              <w:rPr>
                <w:rFonts w:ascii="Arial" w:hAnsi="Arial" w:eastAsia="Arial" w:cs="Arial"/>
                <w:color w:val="000000"/>
                <w:sz w:val="20"/>
              </w:rPr>
              <w:t>$105,000</w:t>
            </w:r>
          </w:p>
        </w:tc>
        <w:tc>
          <w:tcPr>
            <w:tcW w:type="dxa" w:w="1170"/>
          </w:tcPr>
          <w:p>
            <w:pPr>
              <w:spacing w:line="240" w:lineRule="auto" w:before="40" w:after="40"/>
            </w:pPr>
            <w:r>
              <w:rPr>
                <w:color w:val="000000"/>
                <w:sz w:val="20"/>
              </w:rPr>
            </w:r>
            <w:r>
              <w:rPr>
                <w:rFonts w:ascii="Arial" w:hAnsi="Arial" w:eastAsia="Arial" w:cs="Arial"/>
                <w:color w:val="000000"/>
                <w:sz w:val="20"/>
              </w:rPr>
              <w:t>$55,000</w:t>
            </w:r>
          </w:p>
        </w:tc>
        <w:tc>
          <w:tcPr>
            <w:tcW w:type="dxa" w:w="1170"/>
          </w:tcPr>
          <w:p>
            <w:pPr>
              <w:spacing w:line="240" w:lineRule="auto" w:before="40" w:after="40"/>
            </w:pPr>
            <w:r>
              <w:rPr>
                <w:color w:val="000000"/>
                <w:sz w:val="20"/>
              </w:rPr>
            </w:r>
            <w:r>
              <w:rPr>
                <w:rFonts w:ascii="Arial" w:hAnsi="Arial" w:eastAsia="Arial" w:cs="Arial"/>
                <w:color w:val="000000"/>
                <w:sz w:val="20"/>
              </w:rPr>
              <w:t>$160,000</w:t>
            </w:r>
          </w:p>
        </w:tc>
        <w:tc>
          <w:tcPr>
            <w:tcW w:type="dxa" w:w="1170"/>
          </w:tcPr>
          <w:p>
            <w:pPr>
              <w:spacing w:line="240" w:lineRule="auto" w:before="40" w:after="40"/>
            </w:pPr>
            <w:r>
              <w:rPr>
                <w:color w:val="000000"/>
                <w:sz w:val="20"/>
              </w:rPr>
            </w:r>
            <w:r>
              <w:rPr>
                <w:rFonts w:ascii="Arial" w:hAnsi="Arial" w:eastAsia="Arial" w:cs="Arial"/>
                <w:color w:val="000000"/>
                <w:sz w:val="20"/>
              </w:rPr>
              <w:t>$54,109</w:t>
            </w:r>
          </w:p>
        </w:tc>
        <w:tc>
          <w:tcPr>
            <w:tcW w:type="dxa" w:w="1170"/>
          </w:tcPr>
          <w:p>
            <w:pPr>
              <w:spacing w:line="240" w:lineRule="auto" w:before="40" w:after="40"/>
            </w:pPr>
            <w:r>
              <w:rPr>
                <w:color w:val="000000"/>
                <w:sz w:val="20"/>
              </w:rPr>
            </w:r>
            <w:r>
              <w:rPr>
                <w:rFonts w:ascii="Arial" w:hAnsi="Arial" w:eastAsia="Arial" w:cs="Arial"/>
                <w:color w:val="000000"/>
                <w:sz w:val="20"/>
              </w:rPr>
              <w:t>$105,891</w:t>
            </w:r>
          </w:p>
        </w:tc>
        <w:tc>
          <w:tcPr>
            <w:tcW w:type="dxa" w:w="1170"/>
          </w:tcPr>
          <w:p>
            <w:pPr>
              <w:spacing w:line="240" w:lineRule="auto" w:before="40" w:after="40"/>
            </w:pPr>
            <w:r>
              <w:rPr>
                <w:color w:val="000000"/>
                <w:sz w:val="20"/>
              </w:rPr>
            </w:r>
            <w:r>
              <w:rPr>
                <w:rFonts w:ascii="Arial" w:hAnsi="Arial" w:eastAsia="Arial" w:cs="Arial"/>
                <w:color w:val="000000"/>
                <w:sz w:val="20"/>
              </w:rPr>
              <w:t>33.8%</w:t>
            </w:r>
          </w:p>
        </w:tc>
        <w:tc>
          <w:tcPr>
            <w:tcW w:type="dxa" w:w="1170"/>
          </w:tcPr>
          <w:p>
            <w:pPr>
              <w:spacing w:line="240" w:lineRule="auto" w:before="40" w:after="40"/>
            </w:pPr>
            <w:r>
              <w:rPr>
                <w:color w:val="000000"/>
                <w:sz w:val="20"/>
              </w:rPr>
            </w:r>
            <w:r>
              <w:rPr>
                <w:rFonts w:ascii="Arial" w:hAnsi="Arial" w:eastAsia="Arial" w:cs="Arial"/>
                <w:color w:val="000000"/>
                <w:sz w:val="20"/>
              </w:rPr>
              <w:t>$8,824</w:t>
            </w:r>
          </w:p>
        </w:tc>
      </w:tr>
      <w:tr>
        <w:tc>
          <w:tcPr>
            <w:tcW w:type="dxa" w:w="1170"/>
          </w:tcPr>
          <w:p>
            <w:pPr>
              <w:spacing w:line="240" w:lineRule="auto" w:before="40" w:after="40"/>
            </w:pPr>
            <w:r>
              <w:rPr>
                <w:color w:val="000000"/>
                <w:sz w:val="20"/>
              </w:rPr>
            </w:r>
            <w:r>
              <w:rPr>
                <w:rFonts w:ascii="Arial" w:hAnsi="Arial" w:eastAsia="Arial" w:cs="Arial"/>
                <w:color w:val="000000"/>
                <w:sz w:val="20"/>
              </w:rPr>
              <w:t>Regional boutique</w:t>
            </w:r>
          </w:p>
        </w:tc>
        <w:tc>
          <w:tcPr>
            <w:tcW w:type="dxa" w:w="1170"/>
          </w:tcPr>
          <w:p>
            <w:pPr>
              <w:spacing w:line="240" w:lineRule="auto" w:before="40" w:after="40"/>
            </w:pPr>
            <w:r>
              <w:rPr>
                <w:color w:val="000000"/>
                <w:sz w:val="20"/>
              </w:rPr>
            </w:r>
            <w:r>
              <w:rPr>
                <w:rFonts w:ascii="Arial" w:hAnsi="Arial" w:eastAsia="Arial" w:cs="Arial"/>
                <w:color w:val="000000"/>
                <w:sz w:val="20"/>
              </w:rPr>
              <w:t>$90,000</w:t>
            </w:r>
          </w:p>
        </w:tc>
        <w:tc>
          <w:tcPr>
            <w:tcW w:type="dxa" w:w="1170"/>
          </w:tcPr>
          <w:p>
            <w:pPr>
              <w:spacing w:line="240" w:lineRule="auto" w:before="40" w:after="40"/>
            </w:pPr>
            <w:r>
              <w:rPr>
                <w:color w:val="000000"/>
                <w:sz w:val="20"/>
              </w:rPr>
            </w:r>
            <w:r>
              <w:rPr>
                <w:rFonts w:ascii="Arial" w:hAnsi="Arial" w:eastAsia="Arial" w:cs="Arial"/>
                <w:color w:val="000000"/>
                <w:sz w:val="20"/>
              </w:rPr>
              <w:t>$30,000</w:t>
            </w:r>
          </w:p>
        </w:tc>
        <w:tc>
          <w:tcPr>
            <w:tcW w:type="dxa" w:w="1170"/>
          </w:tcPr>
          <w:p>
            <w:pPr>
              <w:spacing w:line="240" w:lineRule="auto" w:before="40" w:after="40"/>
            </w:pPr>
            <w:r>
              <w:rPr>
                <w:color w:val="000000"/>
                <w:sz w:val="20"/>
              </w:rPr>
            </w:r>
            <w:r>
              <w:rPr>
                <w:rFonts w:ascii="Arial" w:hAnsi="Arial" w:eastAsia="Arial" w:cs="Arial"/>
                <w:color w:val="000000"/>
                <w:sz w:val="20"/>
              </w:rPr>
              <w:t>$120,000</w:t>
            </w:r>
          </w:p>
        </w:tc>
        <w:tc>
          <w:tcPr>
            <w:tcW w:type="dxa" w:w="1170"/>
          </w:tcPr>
          <w:p>
            <w:pPr>
              <w:spacing w:line="240" w:lineRule="auto" w:before="40" w:after="40"/>
            </w:pPr>
            <w:r>
              <w:rPr>
                <w:color w:val="000000"/>
                <w:sz w:val="20"/>
              </w:rPr>
            </w:r>
            <w:r>
              <w:rPr>
                <w:rFonts w:ascii="Arial" w:hAnsi="Arial" w:eastAsia="Arial" w:cs="Arial"/>
                <w:color w:val="000000"/>
                <w:sz w:val="20"/>
              </w:rPr>
              <w:t>$37,146</w:t>
            </w:r>
          </w:p>
        </w:tc>
        <w:tc>
          <w:tcPr>
            <w:tcW w:type="dxa" w:w="1170"/>
          </w:tcPr>
          <w:p>
            <w:pPr>
              <w:spacing w:line="240" w:lineRule="auto" w:before="40" w:after="40"/>
            </w:pPr>
            <w:r>
              <w:rPr>
                <w:color w:val="000000"/>
                <w:sz w:val="20"/>
              </w:rPr>
            </w:r>
            <w:r>
              <w:rPr>
                <w:rFonts w:ascii="Arial" w:hAnsi="Arial" w:eastAsia="Arial" w:cs="Arial"/>
                <w:color w:val="000000"/>
                <w:sz w:val="20"/>
              </w:rPr>
              <w:t>$82,854</w:t>
            </w:r>
          </w:p>
        </w:tc>
        <w:tc>
          <w:tcPr>
            <w:tcW w:type="dxa" w:w="1170"/>
          </w:tcPr>
          <w:p>
            <w:pPr>
              <w:spacing w:line="240" w:lineRule="auto" w:before="40" w:after="40"/>
            </w:pPr>
            <w:r>
              <w:rPr>
                <w:color w:val="000000"/>
                <w:sz w:val="20"/>
              </w:rPr>
            </w:r>
            <w:r>
              <w:rPr>
                <w:rFonts w:ascii="Arial" w:hAnsi="Arial" w:eastAsia="Arial" w:cs="Arial"/>
                <w:color w:val="000000"/>
                <w:sz w:val="20"/>
              </w:rPr>
              <w:t>31.0%</w:t>
            </w:r>
          </w:p>
        </w:tc>
        <w:tc>
          <w:tcPr>
            <w:tcW w:type="dxa" w:w="1170"/>
          </w:tcPr>
          <w:p>
            <w:pPr>
              <w:spacing w:line="240" w:lineRule="auto" w:before="40" w:after="40"/>
            </w:pPr>
            <w:r>
              <w:rPr>
                <w:color w:val="000000"/>
                <w:sz w:val="20"/>
              </w:rPr>
            </w:r>
            <w:r>
              <w:rPr>
                <w:rFonts w:ascii="Arial" w:hAnsi="Arial" w:eastAsia="Arial" w:cs="Arial"/>
                <w:color w:val="000000"/>
                <w:sz w:val="20"/>
              </w:rPr>
              <w:t>$6,904</w:t>
            </w:r>
          </w:p>
        </w:tc>
      </w:tr>
    </w:tbl>
    <w:p>
      <w:pPr/>
    </w:p>
    <w:p>
      <w:pPr/>
      <w:r>
        <w:rPr>
          <w:rFonts w:ascii="Arial" w:hAnsi="Arial" w:eastAsia="Arial" w:cs="Arial"/>
        </w:rPr>
        <w:t>[VERIFY: base and bonus inputs per section 2 and the WSO 2026 thread; taxes computed on 2026 rules for a single New York City resident with no pre-tax deductions, script-checked]</w:t>
      </w:r>
    </w:p>
    <w:p>
      <w:pPr/>
    </w:p>
    <w:p>
      <w:pPr/>
      <w:r>
        <w:rPr>
          <w:rFonts w:ascii="Arial" w:hAnsi="Arial" w:eastAsia="Arial" w:cs="Arial"/>
        </w:rPr>
        <w:t>Three things decide which row you land in, and only one of them is you.</w:t>
      </w:r>
    </w:p>
    <w:p>
      <w:pPr/>
    </w:p>
    <w:p>
      <w:pPr/>
      <w:r>
        <w:rPr>
          <w:rFonts w:ascii="Arial" w:hAnsi="Arial" w:eastAsia="Arial" w:cs="Arial"/>
        </w:rPr>
        <w:t>Your group's deal flow comes first. A first-year in a group that closed three deals is easier to rank at the top than one in a group that pitched all year, and group heads fight for pool share based on the fees their group brought in. Within a group, the analysts who were on the live deals get ranked above the ones who were on the pitches, partly because the deal teams are the people writing the reviews.</w:t>
      </w:r>
    </w:p>
    <w:p>
      <w:pPr/>
    </w:p>
    <w:p>
      <w:pPr/>
      <w:r>
        <w:rPr>
          <w:rFonts w:ascii="Arial" w:hAnsi="Arial" w:eastAsia="Arial" w:cs="Arial"/>
        </w:rPr>
        <w:t>The bank's year comes second. In 2025, investment banking fees at Goldman rose 21 percent, and Mergers &amp; Inquisitions' read on the season was that analyst and associate pay still rose only about 5 percent, because the extra revenue went to senior bankers and the banks didn't need to compete for juniors [VERIFY: Goldman 2025 investment banking fees of $9.34 billion, up 21 percent, per the 8-K exhibit; M&amp;I February 2026 on the 5 percent junior increase]. When banks need to keep analysts, pools stretch. When nobody is leaving for tech or consulting, they don't.</w:t>
      </w:r>
    </w:p>
    <w:p>
      <w:pPr/>
    </w:p>
    <w:p>
      <w:pPr/>
      <w:r>
        <w:rPr>
          <w:rFonts w:ascii="Arial" w:hAnsi="Arial" w:eastAsia="Arial" w:cs="Arial"/>
        </w:rPr>
        <w:t>Your ranking comes third, and it's the only lever you hold. The analysts who get the top bucket are the ones associates ask for by name. That comes from catching your own errors before the associate does, turning comments fast, and being reachable. None of that is complicated. All of it is tiring.</w:t>
      </w:r>
    </w:p>
    <w:p>
      <w:pPr/>
    </w:p>
    <w:p>
      <w:pPr/>
      <w:r>
        <w:rPr>
          <w:rFonts w:ascii="Arial" w:hAnsi="Arial" w:eastAsia="Arial" w:cs="Arial"/>
          <w:b/>
        </w:rPr>
        <w:t>The bonus check will look much smaller than the bonus number, and most of that gap is withholding, not tax, which section 6 works through.</w:t>
      </w:r>
    </w:p>
    <w:p>
      <w:pPr/>
    </w:p>
    <w:p>
      <w:pPr>
        <w:pStyle w:val="Heading2"/>
      </w:pPr>
      <w:r>
        <w:rPr>
          <w:rFonts w:ascii="Arial" w:hAnsi="Arial" w:eastAsia="Arial" w:cs="Arial"/>
        </w:rPr>
        <w:t>4. The full tax math on a $200,000 investment banking analyst salary in New York City, line by line</w:t>
      </w:r>
    </w:p>
    <w:p>
      <w:pPr/>
      <w:r>
        <w:rPr>
          <w:rFonts w:ascii="Arial" w:hAnsi="Arial" w:eastAsia="Arial" w:cs="Arial"/>
        </w:rPr>
        <w:t>Take one analyst. Single, no kids, lives in Manhattan, earns a $120,000 base and an $80,000 bonus in the same calendar year. That's a top-bucket bulge bracket first-year or a middle-bucket elite boutique first-year, and it's the round number students have in their heads. I'll use the 2026 tax rules throughout because they're the latest the IRS and New York have published; the 2027 and 2028 brackets will be indexed up a bit for inflation, which helps you slightly [VERIFY: replace the 2026 parameters with 2027 figures once the IRS publishes them, expected October or November 2026, and with New York's 2027 schedule once posted].</w:t>
      </w:r>
    </w:p>
    <w:p>
      <w:pPr/>
    </w:p>
    <w:p>
      <w:pPr/>
      <w:r>
        <w:rPr>
          <w:rFonts w:ascii="Arial" w:hAnsi="Arial" w:eastAsia="Arial" w:cs="Arial"/>
        </w:rPr>
        <w:t>Five separate taxes come out of that $200,000, and each one has its own rules. Here they are in the order payroll applies them.</w:t>
      </w:r>
    </w:p>
    <w:p>
      <w:pPr/>
    </w:p>
    <w:p>
      <w:pPr/>
      <w:r>
        <w:rPr>
          <w:rFonts w:ascii="Arial" w:hAnsi="Arial" w:eastAsia="Arial" w:cs="Arial"/>
          <w:b/>
        </w:rPr>
        <w:t>Federal income tax is the biggest line, and it works in slices: you don't pay 24 percent on everything just because you're "in the 24 percent bracket."</w:t>
      </w:r>
      <w:r>
        <w:rPr>
          <w:rFonts w:ascii="Arial" w:hAnsi="Arial" w:eastAsia="Arial" w:cs="Arial"/>
        </w:rPr>
        <w:t xml:space="preserve"> Start with gross pay of $200,000. Subtract the 2026 standard deduction for a single filer, $16,100, which is the amount of income the federal government doesn't tax at all [VERIFY: $16,100 single standard deduction, IRS Rev. Proc. 2025-32]. That leaves $183,900 of taxable income. Then each slice of that income is taxed at its own rate.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Taxable income slice</w:t>
            </w:r>
          </w:p>
        </w:tc>
        <w:tc>
          <w:tcPr>
            <w:tcW w:type="dxa" w:w="2340"/>
          </w:tcPr>
          <w:p>
            <w:pPr>
              <w:spacing w:line="240" w:lineRule="auto" w:before="40" w:after="40"/>
            </w:pPr>
            <w:r>
              <w:rPr>
                <w:color w:val="000000"/>
                <w:sz w:val="20"/>
              </w:rPr>
            </w:r>
            <w:r>
              <w:rPr>
                <w:rFonts w:ascii="Arial" w:hAnsi="Arial" w:eastAsia="Arial" w:cs="Arial"/>
                <w:b/>
                <w:color w:val="000000"/>
                <w:sz w:val="20"/>
              </w:rPr>
              <w:t>Rate</w:t>
            </w:r>
          </w:p>
        </w:tc>
        <w:tc>
          <w:tcPr>
            <w:tcW w:type="dxa" w:w="2340"/>
          </w:tcPr>
          <w:p>
            <w:pPr>
              <w:spacing w:line="240" w:lineRule="auto" w:before="40" w:after="40"/>
            </w:pPr>
            <w:r>
              <w:rPr>
                <w:color w:val="000000"/>
                <w:sz w:val="20"/>
              </w:rPr>
            </w:r>
            <w:r>
              <w:rPr>
                <w:rFonts w:ascii="Arial" w:hAnsi="Arial" w:eastAsia="Arial" w:cs="Arial"/>
                <w:b/>
                <w:color w:val="000000"/>
                <w:sz w:val="20"/>
              </w:rPr>
              <w:t>Dollars in slice</w:t>
            </w:r>
          </w:p>
        </w:tc>
        <w:tc>
          <w:tcPr>
            <w:tcW w:type="dxa" w:w="2340"/>
          </w:tcPr>
          <w:p>
            <w:pPr>
              <w:spacing w:line="240" w:lineRule="auto" w:before="40" w:after="40"/>
            </w:pPr>
            <w:r>
              <w:rPr>
                <w:color w:val="000000"/>
                <w:sz w:val="20"/>
              </w:rPr>
            </w:r>
            <w:r>
              <w:rPr>
                <w:rFonts w:ascii="Arial" w:hAnsi="Arial" w:eastAsia="Arial" w:cs="Arial"/>
                <w:b/>
                <w:color w:val="000000"/>
                <w:sz w:val="20"/>
              </w:rPr>
              <w:t>Tax</w:t>
            </w:r>
          </w:p>
        </w:tc>
      </w:tr>
      <w:tr>
        <w:tc>
          <w:tcPr>
            <w:tcW w:type="dxa" w:w="2340"/>
          </w:tcPr>
          <w:p>
            <w:pPr>
              <w:spacing w:line="240" w:lineRule="auto" w:before="40" w:after="40"/>
            </w:pPr>
            <w:r>
              <w:rPr>
                <w:color w:val="000000"/>
                <w:sz w:val="20"/>
              </w:rPr>
            </w:r>
            <w:r>
              <w:rPr>
                <w:rFonts w:ascii="Arial" w:hAnsi="Arial" w:eastAsia="Arial" w:cs="Arial"/>
                <w:color w:val="000000"/>
                <w:sz w:val="20"/>
              </w:rPr>
              <w:t>$0 to $12,400</w:t>
            </w:r>
          </w:p>
        </w:tc>
        <w:tc>
          <w:tcPr>
            <w:tcW w:type="dxa" w:w="2340"/>
          </w:tcPr>
          <w:p>
            <w:pPr>
              <w:spacing w:line="240" w:lineRule="auto" w:before="40" w:after="40"/>
            </w:pPr>
            <w:r>
              <w:rPr>
                <w:color w:val="000000"/>
                <w:sz w:val="20"/>
              </w:rPr>
            </w:r>
            <w:r>
              <w:rPr>
                <w:rFonts w:ascii="Arial" w:hAnsi="Arial" w:eastAsia="Arial" w:cs="Arial"/>
                <w:color w:val="000000"/>
                <w:sz w:val="20"/>
              </w:rPr>
              <w:t>10.0%</w:t>
            </w:r>
          </w:p>
        </w:tc>
        <w:tc>
          <w:tcPr>
            <w:tcW w:type="dxa" w:w="2340"/>
          </w:tcPr>
          <w:p>
            <w:pPr>
              <w:spacing w:line="240" w:lineRule="auto" w:before="40" w:after="40"/>
            </w:pPr>
            <w:r>
              <w:rPr>
                <w:color w:val="000000"/>
                <w:sz w:val="20"/>
              </w:rPr>
            </w:r>
            <w:r>
              <w:rPr>
                <w:rFonts w:ascii="Arial" w:hAnsi="Arial" w:eastAsia="Arial" w:cs="Arial"/>
                <w:color w:val="000000"/>
                <w:sz w:val="20"/>
              </w:rPr>
              <w:t>$12,400</w:t>
            </w:r>
          </w:p>
        </w:tc>
        <w:tc>
          <w:tcPr>
            <w:tcW w:type="dxa" w:w="2340"/>
          </w:tcPr>
          <w:p>
            <w:pPr>
              <w:spacing w:line="240" w:lineRule="auto" w:before="40" w:after="40"/>
            </w:pPr>
            <w:r>
              <w:rPr>
                <w:color w:val="000000"/>
                <w:sz w:val="20"/>
              </w:rPr>
            </w:r>
            <w:r>
              <w:rPr>
                <w:rFonts w:ascii="Arial" w:hAnsi="Arial" w:eastAsia="Arial" w:cs="Arial"/>
                <w:color w:val="000000"/>
                <w:sz w:val="20"/>
              </w:rPr>
              <w:t>$1,240</w:t>
            </w:r>
          </w:p>
        </w:tc>
      </w:tr>
      <w:tr>
        <w:tc>
          <w:tcPr>
            <w:tcW w:type="dxa" w:w="2340"/>
          </w:tcPr>
          <w:p>
            <w:pPr>
              <w:spacing w:line="240" w:lineRule="auto" w:before="40" w:after="40"/>
            </w:pPr>
            <w:r>
              <w:rPr>
                <w:color w:val="000000"/>
                <w:sz w:val="20"/>
              </w:rPr>
            </w:r>
            <w:r>
              <w:rPr>
                <w:rFonts w:ascii="Arial" w:hAnsi="Arial" w:eastAsia="Arial" w:cs="Arial"/>
                <w:color w:val="000000"/>
                <w:sz w:val="20"/>
              </w:rPr>
              <w:t>$12,400 to $50,400</w:t>
            </w:r>
          </w:p>
        </w:tc>
        <w:tc>
          <w:tcPr>
            <w:tcW w:type="dxa" w:w="2340"/>
          </w:tcPr>
          <w:p>
            <w:pPr>
              <w:spacing w:line="240" w:lineRule="auto" w:before="40" w:after="40"/>
            </w:pPr>
            <w:r>
              <w:rPr>
                <w:color w:val="000000"/>
                <w:sz w:val="20"/>
              </w:rPr>
            </w:r>
            <w:r>
              <w:rPr>
                <w:rFonts w:ascii="Arial" w:hAnsi="Arial" w:eastAsia="Arial" w:cs="Arial"/>
                <w:color w:val="000000"/>
                <w:sz w:val="20"/>
              </w:rPr>
              <w:t>12.0%</w:t>
            </w:r>
          </w:p>
        </w:tc>
        <w:tc>
          <w:tcPr>
            <w:tcW w:type="dxa" w:w="2340"/>
          </w:tcPr>
          <w:p>
            <w:pPr>
              <w:spacing w:line="240" w:lineRule="auto" w:before="40" w:after="40"/>
            </w:pPr>
            <w:r>
              <w:rPr>
                <w:color w:val="000000"/>
                <w:sz w:val="20"/>
              </w:rPr>
            </w:r>
            <w:r>
              <w:rPr>
                <w:rFonts w:ascii="Arial" w:hAnsi="Arial" w:eastAsia="Arial" w:cs="Arial"/>
                <w:color w:val="000000"/>
                <w:sz w:val="20"/>
              </w:rPr>
              <w:t>$38,000</w:t>
            </w:r>
          </w:p>
        </w:tc>
        <w:tc>
          <w:tcPr>
            <w:tcW w:type="dxa" w:w="2340"/>
          </w:tcPr>
          <w:p>
            <w:pPr>
              <w:spacing w:line="240" w:lineRule="auto" w:before="40" w:after="40"/>
            </w:pPr>
            <w:r>
              <w:rPr>
                <w:color w:val="000000"/>
                <w:sz w:val="20"/>
              </w:rPr>
            </w:r>
            <w:r>
              <w:rPr>
                <w:rFonts w:ascii="Arial" w:hAnsi="Arial" w:eastAsia="Arial" w:cs="Arial"/>
                <w:color w:val="000000"/>
                <w:sz w:val="20"/>
              </w:rPr>
              <w:t>$4,560</w:t>
            </w:r>
          </w:p>
        </w:tc>
      </w:tr>
      <w:tr>
        <w:tc>
          <w:tcPr>
            <w:tcW w:type="dxa" w:w="2340"/>
          </w:tcPr>
          <w:p>
            <w:pPr>
              <w:spacing w:line="240" w:lineRule="auto" w:before="40" w:after="40"/>
            </w:pPr>
            <w:r>
              <w:rPr>
                <w:color w:val="000000"/>
                <w:sz w:val="20"/>
              </w:rPr>
            </w:r>
            <w:r>
              <w:rPr>
                <w:rFonts w:ascii="Arial" w:hAnsi="Arial" w:eastAsia="Arial" w:cs="Arial"/>
                <w:color w:val="000000"/>
                <w:sz w:val="20"/>
              </w:rPr>
              <w:t>$50,400 to $105,700</w:t>
            </w:r>
          </w:p>
        </w:tc>
        <w:tc>
          <w:tcPr>
            <w:tcW w:type="dxa" w:w="2340"/>
          </w:tcPr>
          <w:p>
            <w:pPr>
              <w:spacing w:line="240" w:lineRule="auto" w:before="40" w:after="40"/>
            </w:pPr>
            <w:r>
              <w:rPr>
                <w:color w:val="000000"/>
                <w:sz w:val="20"/>
              </w:rPr>
            </w:r>
            <w:r>
              <w:rPr>
                <w:rFonts w:ascii="Arial" w:hAnsi="Arial" w:eastAsia="Arial" w:cs="Arial"/>
                <w:color w:val="000000"/>
                <w:sz w:val="20"/>
              </w:rPr>
              <w:t>22.0%</w:t>
            </w:r>
          </w:p>
        </w:tc>
        <w:tc>
          <w:tcPr>
            <w:tcW w:type="dxa" w:w="2340"/>
          </w:tcPr>
          <w:p>
            <w:pPr>
              <w:spacing w:line="240" w:lineRule="auto" w:before="40" w:after="40"/>
            </w:pPr>
            <w:r>
              <w:rPr>
                <w:color w:val="000000"/>
                <w:sz w:val="20"/>
              </w:rPr>
            </w:r>
            <w:r>
              <w:rPr>
                <w:rFonts w:ascii="Arial" w:hAnsi="Arial" w:eastAsia="Arial" w:cs="Arial"/>
                <w:color w:val="000000"/>
                <w:sz w:val="20"/>
              </w:rPr>
              <w:t>$55,300</w:t>
            </w:r>
          </w:p>
        </w:tc>
        <w:tc>
          <w:tcPr>
            <w:tcW w:type="dxa" w:w="2340"/>
          </w:tcPr>
          <w:p>
            <w:pPr>
              <w:spacing w:line="240" w:lineRule="auto" w:before="40" w:after="40"/>
            </w:pPr>
            <w:r>
              <w:rPr>
                <w:color w:val="000000"/>
                <w:sz w:val="20"/>
              </w:rPr>
            </w:r>
            <w:r>
              <w:rPr>
                <w:rFonts w:ascii="Arial" w:hAnsi="Arial" w:eastAsia="Arial" w:cs="Arial"/>
                <w:color w:val="000000"/>
                <w:sz w:val="20"/>
              </w:rPr>
              <w:t>$12,166</w:t>
            </w:r>
          </w:p>
        </w:tc>
      </w:tr>
      <w:tr>
        <w:tc>
          <w:tcPr>
            <w:tcW w:type="dxa" w:w="2340"/>
          </w:tcPr>
          <w:p>
            <w:pPr>
              <w:spacing w:line="240" w:lineRule="auto" w:before="40" w:after="40"/>
            </w:pPr>
            <w:r>
              <w:rPr>
                <w:color w:val="000000"/>
                <w:sz w:val="20"/>
              </w:rPr>
            </w:r>
            <w:r>
              <w:rPr>
                <w:rFonts w:ascii="Arial" w:hAnsi="Arial" w:eastAsia="Arial" w:cs="Arial"/>
                <w:color w:val="000000"/>
                <w:sz w:val="20"/>
              </w:rPr>
              <w:t>$105,700 to $183,900</w:t>
            </w:r>
          </w:p>
        </w:tc>
        <w:tc>
          <w:tcPr>
            <w:tcW w:type="dxa" w:w="2340"/>
          </w:tcPr>
          <w:p>
            <w:pPr>
              <w:spacing w:line="240" w:lineRule="auto" w:before="40" w:after="40"/>
            </w:pPr>
            <w:r>
              <w:rPr>
                <w:color w:val="000000"/>
                <w:sz w:val="20"/>
              </w:rPr>
            </w:r>
            <w:r>
              <w:rPr>
                <w:rFonts w:ascii="Arial" w:hAnsi="Arial" w:eastAsia="Arial" w:cs="Arial"/>
                <w:color w:val="000000"/>
                <w:sz w:val="20"/>
              </w:rPr>
              <w:t>24.0%</w:t>
            </w:r>
          </w:p>
        </w:tc>
        <w:tc>
          <w:tcPr>
            <w:tcW w:type="dxa" w:w="2340"/>
          </w:tcPr>
          <w:p>
            <w:pPr>
              <w:spacing w:line="240" w:lineRule="auto" w:before="40" w:after="40"/>
            </w:pPr>
            <w:r>
              <w:rPr>
                <w:color w:val="000000"/>
                <w:sz w:val="20"/>
              </w:rPr>
            </w:r>
            <w:r>
              <w:rPr>
                <w:rFonts w:ascii="Arial" w:hAnsi="Arial" w:eastAsia="Arial" w:cs="Arial"/>
                <w:color w:val="000000"/>
                <w:sz w:val="20"/>
              </w:rPr>
              <w:t>$78,200</w:t>
            </w:r>
          </w:p>
        </w:tc>
        <w:tc>
          <w:tcPr>
            <w:tcW w:type="dxa" w:w="2340"/>
          </w:tcPr>
          <w:p>
            <w:pPr>
              <w:spacing w:line="240" w:lineRule="auto" w:before="40" w:after="40"/>
            </w:pPr>
            <w:r>
              <w:rPr>
                <w:color w:val="000000"/>
                <w:sz w:val="20"/>
              </w:rPr>
            </w:r>
            <w:r>
              <w:rPr>
                <w:rFonts w:ascii="Arial" w:hAnsi="Arial" w:eastAsia="Arial" w:cs="Arial"/>
                <w:color w:val="000000"/>
                <w:sz w:val="20"/>
              </w:rPr>
              <w:t>$18,768</w:t>
            </w:r>
          </w:p>
        </w:tc>
      </w:tr>
      <w:tr>
        <w:tc>
          <w:tcPr>
            <w:tcW w:type="dxa" w:w="2340"/>
          </w:tcPr>
          <w:p>
            <w:pPr>
              <w:spacing w:line="240" w:lineRule="auto" w:before="40" w:after="40"/>
            </w:pPr>
            <w:r>
              <w:rPr>
                <w:color w:val="000000"/>
                <w:sz w:val="20"/>
              </w:rPr>
            </w:r>
            <w:r>
              <w:rPr>
                <w:rFonts w:ascii="Arial" w:hAnsi="Arial" w:eastAsia="Arial" w:cs="Arial"/>
                <w:color w:val="000000"/>
                <w:sz w:val="20"/>
              </w:rPr>
              <w:t>Total federal income tax</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$183,900</w:t>
            </w:r>
          </w:p>
        </w:tc>
        <w:tc>
          <w:tcPr>
            <w:tcW w:type="dxa" w:w="2340"/>
          </w:tcPr>
          <w:p>
            <w:pPr>
              <w:spacing w:line="240" w:lineRule="auto" w:before="40" w:after="40"/>
            </w:pPr>
            <w:r>
              <w:rPr>
                <w:color w:val="000000"/>
                <w:sz w:val="20"/>
              </w:rPr>
            </w:r>
            <w:r>
              <w:rPr>
                <w:rFonts w:ascii="Arial" w:hAnsi="Arial" w:eastAsia="Arial" w:cs="Arial"/>
                <w:color w:val="000000"/>
                <w:sz w:val="20"/>
              </w:rPr>
              <w:t>$36,734</w:t>
            </w:r>
          </w:p>
        </w:tc>
      </w:tr>
    </w:tbl>
    <w:p>
      <w:pPr/>
    </w:p>
    <w:p>
      <w:pPr>
        <w:spacing w:line="240" w:lineRule="auto"/>
        <w:jc w:val="center"/>
      </w:pPr>
      <w:r>
        <w:drawing>
          <wp:inline xmlns:a="http://schemas.openxmlformats.org/drawingml/2006/main" xmlns:pic="http://schemas.openxmlformats.org/drawingml/2006/picture">
            <wp:extent cx="5943600" cy="3636048"/>
            <wp:docPr id="2" name="Picture 2"/>
            <wp:cNvGraphicFramePr>
              <a:graphicFrameLocks noChangeAspect="1"/>
            </wp:cNvGraphicFramePr>
            <a:graphic>
              <a:graphicData uri="http://schemas.openxmlformats.org/drawingml/2006/picture">
                <pic:pic>
                  <pic:nvPicPr>
                    <pic:cNvPr id="0" name="02-federal-bracket-math.png"/>
                    <pic:cNvPicPr/>
                  </pic:nvPicPr>
                  <pic:blipFill>
                    <a:blip r:embed="rId12"/>
                    <a:stretch>
                      <a:fillRect/>
                    </a:stretch>
                  </pic:blipFill>
                  <pic:spPr>
                    <a:xfrm>
                      <a:off x="0" y="0"/>
                      <a:ext cx="5943600" cy="3636048"/>
                    </a:xfrm>
                    <a:prstGeom prst="rect"/>
                  </pic:spPr>
                </pic:pic>
              </a:graphicData>
            </a:graphic>
          </wp:inline>
        </w:drawing>
      </w:r>
    </w:p>
    <w:p>
      <w:pPr>
        <w:jc w:val="center"/>
      </w:pPr>
      <w:r>
        <w:rPr>
          <w:rFonts w:ascii="Arial" w:hAnsi="Arial" w:eastAsia="Arial" w:cs="Arial"/>
          <w:i/>
          <w:sz w:val="20"/>
        </w:rPr>
        <w:t>Only the first four brackets touch $183,900 of taxable income, so the three rows above them show a dash, and the slices add to $36,734 before Social Security and Medicare take another $14,339.</w:t>
      </w:r>
    </w:p>
    <w:p>
      <w:pPr/>
    </w:p>
    <w:p>
      <w:pPr/>
      <w:r>
        <w:rPr>
          <w:rFonts w:ascii="Arial" w:hAnsi="Arial" w:eastAsia="Arial" w:cs="Arial"/>
        </w:rPr>
        <w:t>[VERIFY: 2026 single-filer brackets of 10, 12, 22 and 24 percent with thresholds at $12,400, $50,400, $105,700 and $201,775, IRS Rev. Proc. 2025-32]</w:t>
      </w:r>
    </w:p>
    <w:p>
      <w:pPr/>
    </w:p>
    <w:p>
      <w:pPr/>
      <w:r>
        <w:rPr>
          <w:rFonts w:ascii="Arial" w:hAnsi="Arial" w:eastAsia="Arial" w:cs="Arial"/>
        </w:rPr>
        <w:t>The first $12,400 of taxable income is taxed at 10 percent, the next $38,000 at 12, the next $55,300 at 22, and only the last $78,200 at 24. Add the four slices and the federal bill is $36,734, which is 18.4 percent of gross pay even though the top rate touched was 24. The 24 percent is the marginal rate, meaning the tax on the next dollar. The 18.4 percent is the effective rate, meaning the average on all the dollars. Interviewers won't ask you this, but you'll want it the first time you budget a bonus.</w:t>
      </w:r>
    </w:p>
    <w:p>
      <w:pPr/>
    </w:p>
    <w:p>
      <w:pPr/>
      <w:r>
        <w:rPr>
          <w:rFonts w:ascii="Arial" w:hAnsi="Arial" w:eastAsia="Arial" w:cs="Arial"/>
        </w:rPr>
        <w:t>Social Security is next, at 6.2 percent of wages up to a cap. The cap, which the Social Security Administration calls the wage base, is $184,500 for 2026, so this analyst pays 6.2 percent of $184,500, or $11,439, and nothing on the last $15,500 [VERIFY: 2026 wage base of $184,500 per SSA]. The wage base is the reason the Social Security line in your paychecks disappears late in the year once you've crossed it, and then reappears in January. For a sense of how far the cap has traveled: when the tax started in 1937, it was 1 percent on the first $3,000 of wages, a maximum of $30 a year; the 2026 maximum is $11,439 [VERIFY: 1937 wage base of $3,000 and 1 percent employee rate per SSA's contribution and benefit base and tax rate history pages].</w:t>
      </w:r>
    </w:p>
    <w:p>
      <w:pPr/>
    </w:p>
    <w:p>
      <w:pPr/>
      <w:r>
        <w:rPr>
          <w:rFonts w:ascii="Arial" w:hAnsi="Arial" w:eastAsia="Arial" w:cs="Arial"/>
        </w:rPr>
        <w:t>Medicare is 1.45 percent of all wages with no cap, so $2,900 on $200,000. There's also an additional 0.9 percent Medicare tax on wages above $200,000, which this analyst just misses; the second-year in section 9 doesn't [VERIFY: 1.45 percent Medicare rate and 0.9 percent additional tax above $200,000, IRS Publication 15 (2026)].</w:t>
      </w:r>
    </w:p>
    <w:p>
      <w:pPr/>
    </w:p>
    <w:p>
      <w:pPr/>
      <w:r>
        <w:rPr>
          <w:rFonts w:ascii="Arial" w:hAnsi="Arial" w:eastAsia="Arial" w:cs="Arial"/>
        </w:rPr>
        <w:t xml:space="preserve">New York State is where it gets interesting. New York's own standard deduction for a single filer is $8,000, so New York taxable income is $192,000 [VERIFY: $8,000 New York standard deduction, Form IT-2105-I (2026)]. The published rate schedule starts at 3.9 percent and climbs through 4.4, 5.15, 5.4 and 5.9 percent to reach 6.85 percent above $215,400 [VERIFY: 2026 New York State single-filer schedule, Form IT-2105-I (2026), page 10]. Run $192,000 through that schedule and you'd get $10,760. </w:t>
      </w:r>
      <w:r>
        <w:rPr>
          <w:rFonts w:ascii="Arial" w:hAnsi="Arial" w:eastAsia="Arial" w:cs="Arial"/>
          <w:b/>
        </w:rPr>
        <w:t>New York doesn't let a banker use the schedule: once your New York adjusted gross income passes $157,650, the state phases out the lower brackets entirely and taxes your whole taxable income at a flat 5.9 percent.</w:t>
      </w:r>
      <w:r>
        <w:rPr>
          <w:rFonts w:ascii="Arial" w:hAnsi="Arial" w:eastAsia="Arial" w:cs="Arial"/>
        </w:rPr>
        <w:t xml:space="preserve"> (New York adjusted gross income is your federal adjusted gross income with a few state adjustments; for an analyst it's total wages minus any 401(k) deferral and pre-tax health premium.) The phase-out starts at $107,650 of income and finishes $50,000 later, and it's buried in a tax computation worksheet most people have never seen [VERIFY: Form IT-2105-I (2026), tax computation worksheet 7 for single filers]. For our analyst that means 5.9 percent of $192,000, or $11,328. The schedule would have saved $568. Higher up, above $215,400 of income, a second worksheet phases everything toward 6.85 percent, which is why the effective rate in the three-year table later keeps creeping up.</w:t>
      </w:r>
    </w:p>
    <w:p>
      <w:pPr/>
    </w:p>
    <w:p>
      <w:pPr/>
      <w:r>
        <w:rPr>
          <w:rFonts w:ascii="Arial" w:hAnsi="Arial" w:eastAsia="Arial" w:cs="Arial"/>
        </w:rPr>
        <w:t>New York City then takes its own cut. If you live in any of the five boroughs, the city taxes the same $192,000 of taxable income on a four-step schedule.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NYC taxable income slice</w:t>
            </w:r>
          </w:p>
        </w:tc>
        <w:tc>
          <w:tcPr>
            <w:tcW w:type="dxa" w:w="2340"/>
          </w:tcPr>
          <w:p>
            <w:pPr>
              <w:spacing w:line="240" w:lineRule="auto" w:before="40" w:after="40"/>
            </w:pPr>
            <w:r>
              <w:rPr>
                <w:color w:val="000000"/>
                <w:sz w:val="20"/>
              </w:rPr>
            </w:r>
            <w:r>
              <w:rPr>
                <w:rFonts w:ascii="Arial" w:hAnsi="Arial" w:eastAsia="Arial" w:cs="Arial"/>
                <w:b/>
                <w:color w:val="000000"/>
                <w:sz w:val="20"/>
              </w:rPr>
              <w:t>Rate</w:t>
            </w:r>
          </w:p>
        </w:tc>
        <w:tc>
          <w:tcPr>
            <w:tcW w:type="dxa" w:w="2340"/>
          </w:tcPr>
          <w:p>
            <w:pPr>
              <w:spacing w:line="240" w:lineRule="auto" w:before="40" w:after="40"/>
            </w:pPr>
            <w:r>
              <w:rPr>
                <w:color w:val="000000"/>
                <w:sz w:val="20"/>
              </w:rPr>
            </w:r>
            <w:r>
              <w:rPr>
                <w:rFonts w:ascii="Arial" w:hAnsi="Arial" w:eastAsia="Arial" w:cs="Arial"/>
                <w:b/>
                <w:color w:val="000000"/>
                <w:sz w:val="20"/>
              </w:rPr>
              <w:t>Dollars in slice</w:t>
            </w:r>
          </w:p>
        </w:tc>
        <w:tc>
          <w:tcPr>
            <w:tcW w:type="dxa" w:w="2340"/>
          </w:tcPr>
          <w:p>
            <w:pPr>
              <w:spacing w:line="240" w:lineRule="auto" w:before="40" w:after="40"/>
            </w:pPr>
            <w:r>
              <w:rPr>
                <w:color w:val="000000"/>
                <w:sz w:val="20"/>
              </w:rPr>
            </w:r>
            <w:r>
              <w:rPr>
                <w:rFonts w:ascii="Arial" w:hAnsi="Arial" w:eastAsia="Arial" w:cs="Arial"/>
                <w:b/>
                <w:color w:val="000000"/>
                <w:sz w:val="20"/>
              </w:rPr>
              <w:t>Tax</w:t>
            </w:r>
          </w:p>
        </w:tc>
      </w:tr>
      <w:tr>
        <w:tc>
          <w:tcPr>
            <w:tcW w:type="dxa" w:w="2340"/>
          </w:tcPr>
          <w:p>
            <w:pPr>
              <w:spacing w:line="240" w:lineRule="auto" w:before="40" w:after="40"/>
            </w:pPr>
            <w:r>
              <w:rPr>
                <w:color w:val="000000"/>
                <w:sz w:val="20"/>
              </w:rPr>
            </w:r>
            <w:r>
              <w:rPr>
                <w:rFonts w:ascii="Arial" w:hAnsi="Arial" w:eastAsia="Arial" w:cs="Arial"/>
                <w:color w:val="000000"/>
                <w:sz w:val="20"/>
              </w:rPr>
              <w:t>$0 to $12,000</w:t>
            </w:r>
          </w:p>
        </w:tc>
        <w:tc>
          <w:tcPr>
            <w:tcW w:type="dxa" w:w="2340"/>
          </w:tcPr>
          <w:p>
            <w:pPr>
              <w:spacing w:line="240" w:lineRule="auto" w:before="40" w:after="40"/>
            </w:pPr>
            <w:r>
              <w:rPr>
                <w:color w:val="000000"/>
                <w:sz w:val="20"/>
              </w:rPr>
            </w:r>
            <w:r>
              <w:rPr>
                <w:rFonts w:ascii="Arial" w:hAnsi="Arial" w:eastAsia="Arial" w:cs="Arial"/>
                <w:color w:val="000000"/>
                <w:sz w:val="20"/>
              </w:rPr>
              <w:t>3.078%</w:t>
            </w:r>
          </w:p>
        </w:tc>
        <w:tc>
          <w:tcPr>
            <w:tcW w:type="dxa" w:w="2340"/>
          </w:tcPr>
          <w:p>
            <w:pPr>
              <w:spacing w:line="240" w:lineRule="auto" w:before="40" w:after="40"/>
            </w:pPr>
            <w:r>
              <w:rPr>
                <w:color w:val="000000"/>
                <w:sz w:val="20"/>
              </w:rPr>
            </w:r>
            <w:r>
              <w:rPr>
                <w:rFonts w:ascii="Arial" w:hAnsi="Arial" w:eastAsia="Arial" w:cs="Arial"/>
                <w:color w:val="000000"/>
                <w:sz w:val="20"/>
              </w:rPr>
              <w:t>$12,000</w:t>
            </w:r>
          </w:p>
        </w:tc>
        <w:tc>
          <w:tcPr>
            <w:tcW w:type="dxa" w:w="2340"/>
          </w:tcPr>
          <w:p>
            <w:pPr>
              <w:spacing w:line="240" w:lineRule="auto" w:before="40" w:after="40"/>
            </w:pPr>
            <w:r>
              <w:rPr>
                <w:color w:val="000000"/>
                <w:sz w:val="20"/>
              </w:rPr>
            </w:r>
            <w:r>
              <w:rPr>
                <w:rFonts w:ascii="Arial" w:hAnsi="Arial" w:eastAsia="Arial" w:cs="Arial"/>
                <w:color w:val="000000"/>
                <w:sz w:val="20"/>
              </w:rPr>
              <w:t>$369</w:t>
            </w:r>
          </w:p>
        </w:tc>
      </w:tr>
      <w:tr>
        <w:tc>
          <w:tcPr>
            <w:tcW w:type="dxa" w:w="2340"/>
          </w:tcPr>
          <w:p>
            <w:pPr>
              <w:spacing w:line="240" w:lineRule="auto" w:before="40" w:after="40"/>
            </w:pPr>
            <w:r>
              <w:rPr>
                <w:color w:val="000000"/>
                <w:sz w:val="20"/>
              </w:rPr>
            </w:r>
            <w:r>
              <w:rPr>
                <w:rFonts w:ascii="Arial" w:hAnsi="Arial" w:eastAsia="Arial" w:cs="Arial"/>
                <w:color w:val="000000"/>
                <w:sz w:val="20"/>
              </w:rPr>
              <w:t>$12,000 to $25,000</w:t>
            </w:r>
          </w:p>
        </w:tc>
        <w:tc>
          <w:tcPr>
            <w:tcW w:type="dxa" w:w="2340"/>
          </w:tcPr>
          <w:p>
            <w:pPr>
              <w:spacing w:line="240" w:lineRule="auto" w:before="40" w:after="40"/>
            </w:pPr>
            <w:r>
              <w:rPr>
                <w:color w:val="000000"/>
                <w:sz w:val="20"/>
              </w:rPr>
            </w:r>
            <w:r>
              <w:rPr>
                <w:rFonts w:ascii="Arial" w:hAnsi="Arial" w:eastAsia="Arial" w:cs="Arial"/>
                <w:color w:val="000000"/>
                <w:sz w:val="20"/>
              </w:rPr>
              <w:t>3.762%</w:t>
            </w:r>
          </w:p>
        </w:tc>
        <w:tc>
          <w:tcPr>
            <w:tcW w:type="dxa" w:w="2340"/>
          </w:tcPr>
          <w:p>
            <w:pPr>
              <w:spacing w:line="240" w:lineRule="auto" w:before="40" w:after="40"/>
            </w:pPr>
            <w:r>
              <w:rPr>
                <w:color w:val="000000"/>
                <w:sz w:val="20"/>
              </w:rPr>
            </w:r>
            <w:r>
              <w:rPr>
                <w:rFonts w:ascii="Arial" w:hAnsi="Arial" w:eastAsia="Arial" w:cs="Arial"/>
                <w:color w:val="000000"/>
                <w:sz w:val="20"/>
              </w:rPr>
              <w:t>$13,000</w:t>
            </w:r>
          </w:p>
        </w:tc>
        <w:tc>
          <w:tcPr>
            <w:tcW w:type="dxa" w:w="2340"/>
          </w:tcPr>
          <w:p>
            <w:pPr>
              <w:spacing w:line="240" w:lineRule="auto" w:before="40" w:after="40"/>
            </w:pPr>
            <w:r>
              <w:rPr>
                <w:color w:val="000000"/>
                <w:sz w:val="20"/>
              </w:rPr>
            </w:r>
            <w:r>
              <w:rPr>
                <w:rFonts w:ascii="Arial" w:hAnsi="Arial" w:eastAsia="Arial" w:cs="Arial"/>
                <w:color w:val="000000"/>
                <w:sz w:val="20"/>
              </w:rPr>
              <w:t>$489</w:t>
            </w:r>
          </w:p>
        </w:tc>
      </w:tr>
      <w:tr>
        <w:tc>
          <w:tcPr>
            <w:tcW w:type="dxa" w:w="2340"/>
          </w:tcPr>
          <w:p>
            <w:pPr>
              <w:spacing w:line="240" w:lineRule="auto" w:before="40" w:after="40"/>
            </w:pPr>
            <w:r>
              <w:rPr>
                <w:color w:val="000000"/>
                <w:sz w:val="20"/>
              </w:rPr>
            </w:r>
            <w:r>
              <w:rPr>
                <w:rFonts w:ascii="Arial" w:hAnsi="Arial" w:eastAsia="Arial" w:cs="Arial"/>
                <w:color w:val="000000"/>
                <w:sz w:val="20"/>
              </w:rPr>
              <w:t>$25,000 to $50,000</w:t>
            </w:r>
          </w:p>
        </w:tc>
        <w:tc>
          <w:tcPr>
            <w:tcW w:type="dxa" w:w="2340"/>
          </w:tcPr>
          <w:p>
            <w:pPr>
              <w:spacing w:line="240" w:lineRule="auto" w:before="40" w:after="40"/>
            </w:pPr>
            <w:r>
              <w:rPr>
                <w:color w:val="000000"/>
                <w:sz w:val="20"/>
              </w:rPr>
            </w:r>
            <w:r>
              <w:rPr>
                <w:rFonts w:ascii="Arial" w:hAnsi="Arial" w:eastAsia="Arial" w:cs="Arial"/>
                <w:color w:val="000000"/>
                <w:sz w:val="20"/>
              </w:rPr>
              <w:t>3.819%</w:t>
            </w:r>
          </w:p>
        </w:tc>
        <w:tc>
          <w:tcPr>
            <w:tcW w:type="dxa" w:w="2340"/>
          </w:tcPr>
          <w:p>
            <w:pPr>
              <w:spacing w:line="240" w:lineRule="auto" w:before="40" w:after="40"/>
            </w:pPr>
            <w:r>
              <w:rPr>
                <w:color w:val="000000"/>
                <w:sz w:val="20"/>
              </w:rPr>
            </w:r>
            <w:r>
              <w:rPr>
                <w:rFonts w:ascii="Arial" w:hAnsi="Arial" w:eastAsia="Arial" w:cs="Arial"/>
                <w:color w:val="000000"/>
                <w:sz w:val="20"/>
              </w:rPr>
              <w:t>$25,000</w:t>
            </w:r>
          </w:p>
        </w:tc>
        <w:tc>
          <w:tcPr>
            <w:tcW w:type="dxa" w:w="2340"/>
          </w:tcPr>
          <w:p>
            <w:pPr>
              <w:spacing w:line="240" w:lineRule="auto" w:before="40" w:after="40"/>
            </w:pPr>
            <w:r>
              <w:rPr>
                <w:color w:val="000000"/>
                <w:sz w:val="20"/>
              </w:rPr>
            </w:r>
            <w:r>
              <w:rPr>
                <w:rFonts w:ascii="Arial" w:hAnsi="Arial" w:eastAsia="Arial" w:cs="Arial"/>
                <w:color w:val="000000"/>
                <w:sz w:val="20"/>
              </w:rPr>
              <w:t>$955</w:t>
            </w:r>
          </w:p>
        </w:tc>
      </w:tr>
      <w:tr>
        <w:tc>
          <w:tcPr>
            <w:tcW w:type="dxa" w:w="2340"/>
          </w:tcPr>
          <w:p>
            <w:pPr>
              <w:spacing w:line="240" w:lineRule="auto" w:before="40" w:after="40"/>
            </w:pPr>
            <w:r>
              <w:rPr>
                <w:color w:val="000000"/>
                <w:sz w:val="20"/>
              </w:rPr>
            </w:r>
            <w:r>
              <w:rPr>
                <w:rFonts w:ascii="Arial" w:hAnsi="Arial" w:eastAsia="Arial" w:cs="Arial"/>
                <w:color w:val="000000"/>
                <w:sz w:val="20"/>
              </w:rPr>
              <w:t>$50,000 to $192,000</w:t>
            </w:r>
          </w:p>
        </w:tc>
        <w:tc>
          <w:tcPr>
            <w:tcW w:type="dxa" w:w="2340"/>
          </w:tcPr>
          <w:p>
            <w:pPr>
              <w:spacing w:line="240" w:lineRule="auto" w:before="40" w:after="40"/>
            </w:pPr>
            <w:r>
              <w:rPr>
                <w:color w:val="000000"/>
                <w:sz w:val="20"/>
              </w:rPr>
            </w:r>
            <w:r>
              <w:rPr>
                <w:rFonts w:ascii="Arial" w:hAnsi="Arial" w:eastAsia="Arial" w:cs="Arial"/>
                <w:color w:val="000000"/>
                <w:sz w:val="20"/>
              </w:rPr>
              <w:t>3.876%</w:t>
            </w:r>
          </w:p>
        </w:tc>
        <w:tc>
          <w:tcPr>
            <w:tcW w:type="dxa" w:w="2340"/>
          </w:tcPr>
          <w:p>
            <w:pPr>
              <w:spacing w:line="240" w:lineRule="auto" w:before="40" w:after="40"/>
            </w:pPr>
            <w:r>
              <w:rPr>
                <w:color w:val="000000"/>
                <w:sz w:val="20"/>
              </w:rPr>
            </w:r>
            <w:r>
              <w:rPr>
                <w:rFonts w:ascii="Arial" w:hAnsi="Arial" w:eastAsia="Arial" w:cs="Arial"/>
                <w:color w:val="000000"/>
                <w:sz w:val="20"/>
              </w:rPr>
              <w:t>$142,000</w:t>
            </w:r>
          </w:p>
        </w:tc>
        <w:tc>
          <w:tcPr>
            <w:tcW w:type="dxa" w:w="2340"/>
          </w:tcPr>
          <w:p>
            <w:pPr>
              <w:spacing w:line="240" w:lineRule="auto" w:before="40" w:after="40"/>
            </w:pPr>
            <w:r>
              <w:rPr>
                <w:color w:val="000000"/>
                <w:sz w:val="20"/>
              </w:rPr>
            </w:r>
            <w:r>
              <w:rPr>
                <w:rFonts w:ascii="Arial" w:hAnsi="Arial" w:eastAsia="Arial" w:cs="Arial"/>
                <w:color w:val="000000"/>
                <w:sz w:val="20"/>
              </w:rPr>
              <w:t>$5,504</w:t>
            </w:r>
          </w:p>
        </w:tc>
      </w:tr>
      <w:tr>
        <w:tc>
          <w:tcPr>
            <w:tcW w:type="dxa" w:w="2340"/>
          </w:tcPr>
          <w:p>
            <w:pPr>
              <w:spacing w:line="240" w:lineRule="auto" w:before="40" w:after="40"/>
            </w:pPr>
            <w:r>
              <w:rPr>
                <w:color w:val="000000"/>
                <w:sz w:val="20"/>
              </w:rPr>
            </w:r>
            <w:r>
              <w:rPr>
                <w:rFonts w:ascii="Arial" w:hAnsi="Arial" w:eastAsia="Arial" w:cs="Arial"/>
                <w:color w:val="000000"/>
                <w:sz w:val="20"/>
              </w:rPr>
              <w:t>Total NYC tax</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r>
              <w:rPr>
                <w:rFonts w:ascii="Arial" w:hAnsi="Arial" w:eastAsia="Arial" w:cs="Arial"/>
                <w:color w:val="000000"/>
                <w:sz w:val="20"/>
              </w:rPr>
              <w:t>$192,000</w:t>
            </w:r>
          </w:p>
        </w:tc>
        <w:tc>
          <w:tcPr>
            <w:tcW w:type="dxa" w:w="2340"/>
          </w:tcPr>
          <w:p>
            <w:pPr>
              <w:spacing w:line="240" w:lineRule="auto" w:before="40" w:after="40"/>
            </w:pPr>
            <w:r>
              <w:rPr>
                <w:color w:val="000000"/>
                <w:sz w:val="20"/>
              </w:rPr>
            </w:r>
            <w:r>
              <w:rPr>
                <w:rFonts w:ascii="Arial" w:hAnsi="Arial" w:eastAsia="Arial" w:cs="Arial"/>
                <w:color w:val="000000"/>
                <w:sz w:val="20"/>
              </w:rPr>
              <w:t>$7,317</w:t>
            </w:r>
          </w:p>
        </w:tc>
      </w:tr>
    </w:tbl>
    <w:p>
      <w:pPr/>
    </w:p>
    <w:p>
      <w:pPr>
        <w:spacing w:line="240" w:lineRule="auto"/>
        <w:jc w:val="center"/>
      </w:pPr>
      <w:r>
        <w:drawing>
          <wp:inline xmlns:a="http://schemas.openxmlformats.org/drawingml/2006/main" xmlns:pic="http://schemas.openxmlformats.org/drawingml/2006/picture">
            <wp:extent cx="5943600" cy="3503828"/>
            <wp:docPr id="3" name="Picture 3"/>
            <wp:cNvGraphicFramePr>
              <a:graphicFrameLocks noChangeAspect="1"/>
            </wp:cNvGraphicFramePr>
            <a:graphic>
              <a:graphicData uri="http://schemas.openxmlformats.org/drawingml/2006/picture">
                <pic:pic>
                  <pic:nvPicPr>
                    <pic:cNvPr id="0" name="03-new-york-state-and-city-tax.png"/>
                    <pic:cNvPicPr/>
                  </pic:nvPicPr>
                  <pic:blipFill>
                    <a:blip r:embed="rId13"/>
                    <a:stretch>
                      <a:fillRect/>
                    </a:stretch>
                  </pic:blipFill>
                  <pic:spPr>
                    <a:xfrm>
                      <a:off x="0" y="0"/>
                      <a:ext cx="5943600" cy="3503828"/>
                    </a:xfrm>
                    <a:prstGeom prst="rect"/>
                  </pic:spPr>
                </pic:pic>
              </a:graphicData>
            </a:graphic>
          </wp:inline>
        </w:drawing>
      </w:r>
    </w:p>
    <w:p>
      <w:pPr>
        <w:jc w:val="center"/>
      </w:pPr>
      <w:r>
        <w:rPr>
          <w:rFonts w:ascii="Arial" w:hAnsi="Arial" w:eastAsia="Arial" w:cs="Arial"/>
          <w:i/>
          <w:sz w:val="20"/>
        </w:rPr>
        <w:t>The schedule would charge $10,760, but worksheet 7 taxes all $192,000 at a flat 5.9 percent for $11,328, the city adds $7,317 on its four slices, and the sheet lands on the same $130,282.</w:t>
      </w:r>
    </w:p>
    <w:p>
      <w:pPr/>
    </w:p>
    <w:p>
      <w:pPr/>
      <w:r>
        <w:rPr>
          <w:rFonts w:ascii="Arial" w:hAnsi="Arial" w:eastAsia="Arial" w:cs="Arial"/>
        </w:rPr>
        <w:t>[VERIFY: 2026 New York City resident single-filer schedule, Form IT-2105-I (2026)]</w:t>
      </w:r>
    </w:p>
    <w:p>
      <w:pPr/>
    </w:p>
    <w:p>
      <w:pPr/>
      <w:r>
        <w:rPr>
          <w:rFonts w:ascii="Arial" w:hAnsi="Arial" w:eastAsia="Arial" w:cs="Arial"/>
        </w:rPr>
        <w:t>Put it all together.</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Line</w:t>
            </w:r>
          </w:p>
        </w:tc>
        <w:tc>
          <w:tcPr>
            <w:tcW w:type="dxa" w:w="4680"/>
          </w:tcPr>
          <w:p>
            <w:pPr>
              <w:spacing w:line="240" w:lineRule="auto" w:before="40" w:after="40"/>
            </w:pPr>
            <w:r>
              <w:rPr>
                <w:color w:val="000000"/>
                <w:sz w:val="20"/>
              </w:rPr>
            </w:r>
            <w:r>
              <w:rPr>
                <w:rFonts w:ascii="Arial" w:hAnsi="Arial" w:eastAsia="Arial" w:cs="Arial"/>
                <w:b/>
                <w:color w:val="000000"/>
                <w:sz w:val="20"/>
              </w:rPr>
              <w:t>Amount</w:t>
            </w:r>
          </w:p>
        </w:tc>
      </w:tr>
      <w:tr>
        <w:tc>
          <w:tcPr>
            <w:tcW w:type="dxa" w:w="4680"/>
          </w:tcPr>
          <w:p>
            <w:pPr>
              <w:spacing w:line="240" w:lineRule="auto" w:before="40" w:after="40"/>
            </w:pPr>
            <w:r>
              <w:rPr>
                <w:color w:val="000000"/>
                <w:sz w:val="20"/>
              </w:rPr>
            </w:r>
            <w:r>
              <w:rPr>
                <w:rFonts w:ascii="Arial" w:hAnsi="Arial" w:eastAsia="Arial" w:cs="Arial"/>
                <w:color w:val="000000"/>
                <w:sz w:val="20"/>
              </w:rPr>
              <w:t>Base salary</w:t>
            </w:r>
          </w:p>
        </w:tc>
        <w:tc>
          <w:tcPr>
            <w:tcW w:type="dxa" w:w="4680"/>
          </w:tcPr>
          <w:p>
            <w:pPr>
              <w:spacing w:line="240" w:lineRule="auto" w:before="40" w:after="40"/>
            </w:pPr>
            <w:r>
              <w:rPr>
                <w:color w:val="000000"/>
                <w:sz w:val="20"/>
              </w:rPr>
            </w:r>
            <w:r>
              <w:rPr>
                <w:rFonts w:ascii="Arial" w:hAnsi="Arial" w:eastAsia="Arial" w:cs="Arial"/>
                <w:color w:val="000000"/>
                <w:sz w:val="20"/>
              </w:rPr>
              <w:t>$120,000</w:t>
            </w:r>
          </w:p>
        </w:tc>
      </w:tr>
      <w:tr>
        <w:tc>
          <w:tcPr>
            <w:tcW w:type="dxa" w:w="4680"/>
          </w:tcPr>
          <w:p>
            <w:pPr>
              <w:spacing w:line="240" w:lineRule="auto" w:before="40" w:after="40"/>
            </w:pPr>
            <w:r>
              <w:rPr>
                <w:color w:val="000000"/>
                <w:sz w:val="20"/>
              </w:rPr>
            </w:r>
            <w:r>
              <w:rPr>
                <w:rFonts w:ascii="Arial" w:hAnsi="Arial" w:eastAsia="Arial" w:cs="Arial"/>
                <w:color w:val="000000"/>
                <w:sz w:val="20"/>
              </w:rPr>
              <w:t>Year-end bonus</w:t>
            </w:r>
          </w:p>
        </w:tc>
        <w:tc>
          <w:tcPr>
            <w:tcW w:type="dxa" w:w="4680"/>
          </w:tcPr>
          <w:p>
            <w:pPr>
              <w:spacing w:line="240" w:lineRule="auto" w:before="40" w:after="40"/>
            </w:pPr>
            <w:r>
              <w:rPr>
                <w:color w:val="000000"/>
                <w:sz w:val="20"/>
              </w:rPr>
            </w:r>
            <w:r>
              <w:rPr>
                <w:rFonts w:ascii="Arial" w:hAnsi="Arial" w:eastAsia="Arial" w:cs="Arial"/>
                <w:color w:val="000000"/>
                <w:sz w:val="20"/>
              </w:rPr>
              <w:t>$80,000</w:t>
            </w:r>
          </w:p>
        </w:tc>
      </w:tr>
      <w:tr>
        <w:tc>
          <w:tcPr>
            <w:tcW w:type="dxa" w:w="4680"/>
          </w:tcPr>
          <w:p>
            <w:pPr>
              <w:spacing w:line="240" w:lineRule="auto" w:before="40" w:after="40"/>
            </w:pPr>
            <w:r>
              <w:rPr>
                <w:color w:val="000000"/>
                <w:sz w:val="20"/>
              </w:rPr>
            </w:r>
            <w:r>
              <w:rPr>
                <w:rFonts w:ascii="Arial" w:hAnsi="Arial" w:eastAsia="Arial" w:cs="Arial"/>
                <w:color w:val="000000"/>
                <w:sz w:val="20"/>
              </w:rPr>
              <w:t>Gross pay</w:t>
            </w:r>
          </w:p>
        </w:tc>
        <w:tc>
          <w:tcPr>
            <w:tcW w:type="dxa" w:w="4680"/>
          </w:tcPr>
          <w:p>
            <w:pPr>
              <w:spacing w:line="240" w:lineRule="auto" w:before="40" w:after="40"/>
            </w:pPr>
            <w:r>
              <w:rPr>
                <w:color w:val="000000"/>
                <w:sz w:val="20"/>
              </w:rPr>
            </w:r>
            <w:r>
              <w:rPr>
                <w:rFonts w:ascii="Arial" w:hAnsi="Arial" w:eastAsia="Arial" w:cs="Arial"/>
                <w:color w:val="000000"/>
                <w:sz w:val="20"/>
              </w:rPr>
              <w:t>$200,000</w:t>
            </w:r>
          </w:p>
        </w:tc>
      </w:tr>
      <w:tr>
        <w:tc>
          <w:tcPr>
            <w:tcW w:type="dxa" w:w="4680"/>
          </w:tcPr>
          <w:p>
            <w:pPr>
              <w:spacing w:line="240" w:lineRule="auto" w:before="40" w:after="40"/>
            </w:pPr>
            <w:r>
              <w:rPr>
                <w:color w:val="000000"/>
                <w:sz w:val="20"/>
              </w:rPr>
            </w:r>
            <w:r>
              <w:rPr>
                <w:rFonts w:ascii="Arial" w:hAnsi="Arial" w:eastAsia="Arial" w:cs="Arial"/>
                <w:color w:val="000000"/>
                <w:sz w:val="20"/>
              </w:rPr>
              <w:t>Minus federal standard deduction</w:t>
            </w:r>
          </w:p>
        </w:tc>
        <w:tc>
          <w:tcPr>
            <w:tcW w:type="dxa" w:w="4680"/>
          </w:tcPr>
          <w:p>
            <w:pPr>
              <w:spacing w:line="240" w:lineRule="auto" w:before="40" w:after="40"/>
            </w:pPr>
            <w:r>
              <w:rPr>
                <w:color w:val="000000"/>
                <w:sz w:val="20"/>
              </w:rPr>
            </w:r>
            <w:r>
              <w:rPr>
                <w:rFonts w:ascii="Arial" w:hAnsi="Arial" w:eastAsia="Arial" w:cs="Arial"/>
                <w:color w:val="000000"/>
                <w:sz w:val="20"/>
              </w:rPr>
              <w:t>$16,100</w:t>
            </w:r>
          </w:p>
        </w:tc>
      </w:tr>
      <w:tr>
        <w:tc>
          <w:tcPr>
            <w:tcW w:type="dxa" w:w="4680"/>
          </w:tcPr>
          <w:p>
            <w:pPr>
              <w:spacing w:line="240" w:lineRule="auto" w:before="40" w:after="40"/>
            </w:pPr>
            <w:r>
              <w:rPr>
                <w:color w:val="000000"/>
                <w:sz w:val="20"/>
              </w:rPr>
            </w:r>
            <w:r>
              <w:rPr>
                <w:rFonts w:ascii="Arial" w:hAnsi="Arial" w:eastAsia="Arial" w:cs="Arial"/>
                <w:color w:val="000000"/>
                <w:sz w:val="20"/>
              </w:rPr>
              <w:t>Federal taxable income</w:t>
            </w:r>
          </w:p>
        </w:tc>
        <w:tc>
          <w:tcPr>
            <w:tcW w:type="dxa" w:w="4680"/>
          </w:tcPr>
          <w:p>
            <w:pPr>
              <w:spacing w:line="240" w:lineRule="auto" w:before="40" w:after="40"/>
            </w:pPr>
            <w:r>
              <w:rPr>
                <w:color w:val="000000"/>
                <w:sz w:val="20"/>
              </w:rPr>
            </w:r>
            <w:r>
              <w:rPr>
                <w:rFonts w:ascii="Arial" w:hAnsi="Arial" w:eastAsia="Arial" w:cs="Arial"/>
                <w:color w:val="000000"/>
                <w:sz w:val="20"/>
              </w:rPr>
              <w:t>$183,900</w:t>
            </w:r>
          </w:p>
        </w:tc>
      </w:tr>
      <w:tr>
        <w:tc>
          <w:tcPr>
            <w:tcW w:type="dxa" w:w="4680"/>
          </w:tcPr>
          <w:p>
            <w:pPr>
              <w:spacing w:line="240" w:lineRule="auto" w:before="40" w:after="40"/>
            </w:pPr>
            <w:r>
              <w:rPr>
                <w:color w:val="000000"/>
                <w:sz w:val="20"/>
              </w:rPr>
            </w:r>
            <w:r>
              <w:rPr>
                <w:rFonts w:ascii="Arial" w:hAnsi="Arial" w:eastAsia="Arial" w:cs="Arial"/>
                <w:color w:val="000000"/>
                <w:sz w:val="20"/>
              </w:rPr>
              <w:t>Federal income tax (from the bracket table)</w:t>
            </w:r>
          </w:p>
        </w:tc>
        <w:tc>
          <w:tcPr>
            <w:tcW w:type="dxa" w:w="4680"/>
          </w:tcPr>
          <w:p>
            <w:pPr>
              <w:spacing w:line="240" w:lineRule="auto" w:before="40" w:after="40"/>
            </w:pPr>
            <w:r>
              <w:rPr>
                <w:color w:val="000000"/>
                <w:sz w:val="20"/>
              </w:rPr>
            </w:r>
            <w:r>
              <w:rPr>
                <w:rFonts w:ascii="Arial" w:hAnsi="Arial" w:eastAsia="Arial" w:cs="Arial"/>
                <w:color w:val="000000"/>
                <w:sz w:val="20"/>
              </w:rPr>
              <w:t>$36,734</w:t>
            </w:r>
          </w:p>
        </w:tc>
      </w:tr>
      <w:tr>
        <w:tc>
          <w:tcPr>
            <w:tcW w:type="dxa" w:w="4680"/>
          </w:tcPr>
          <w:p>
            <w:pPr>
              <w:spacing w:line="240" w:lineRule="auto" w:before="40" w:after="40"/>
            </w:pPr>
            <w:r>
              <w:rPr>
                <w:color w:val="000000"/>
                <w:sz w:val="20"/>
              </w:rPr>
            </w:r>
            <w:r>
              <w:rPr>
                <w:rFonts w:ascii="Arial" w:hAnsi="Arial" w:eastAsia="Arial" w:cs="Arial"/>
                <w:color w:val="000000"/>
                <w:sz w:val="20"/>
              </w:rPr>
              <w:t>Social Security, 6.2% of the first $184,500</w:t>
            </w:r>
          </w:p>
        </w:tc>
        <w:tc>
          <w:tcPr>
            <w:tcW w:type="dxa" w:w="4680"/>
          </w:tcPr>
          <w:p>
            <w:pPr>
              <w:spacing w:line="240" w:lineRule="auto" w:before="40" w:after="40"/>
            </w:pPr>
            <w:r>
              <w:rPr>
                <w:color w:val="000000"/>
                <w:sz w:val="20"/>
              </w:rPr>
            </w:r>
            <w:r>
              <w:rPr>
                <w:rFonts w:ascii="Arial" w:hAnsi="Arial" w:eastAsia="Arial" w:cs="Arial"/>
                <w:color w:val="000000"/>
                <w:sz w:val="20"/>
              </w:rPr>
              <w:t>$11,439</w:t>
            </w:r>
          </w:p>
        </w:tc>
      </w:tr>
      <w:tr>
        <w:tc>
          <w:tcPr>
            <w:tcW w:type="dxa" w:w="4680"/>
          </w:tcPr>
          <w:p>
            <w:pPr>
              <w:spacing w:line="240" w:lineRule="auto" w:before="40" w:after="40"/>
            </w:pPr>
            <w:r>
              <w:rPr>
                <w:color w:val="000000"/>
                <w:sz w:val="20"/>
              </w:rPr>
            </w:r>
            <w:r>
              <w:rPr>
                <w:rFonts w:ascii="Arial" w:hAnsi="Arial" w:eastAsia="Arial" w:cs="Arial"/>
                <w:color w:val="000000"/>
                <w:sz w:val="20"/>
              </w:rPr>
              <w:t>Medicare, 1.45% of all wages</w:t>
            </w:r>
          </w:p>
        </w:tc>
        <w:tc>
          <w:tcPr>
            <w:tcW w:type="dxa" w:w="4680"/>
          </w:tcPr>
          <w:p>
            <w:pPr>
              <w:spacing w:line="240" w:lineRule="auto" w:before="40" w:after="40"/>
            </w:pPr>
            <w:r>
              <w:rPr>
                <w:color w:val="000000"/>
                <w:sz w:val="20"/>
              </w:rPr>
            </w:r>
            <w:r>
              <w:rPr>
                <w:rFonts w:ascii="Arial" w:hAnsi="Arial" w:eastAsia="Arial" w:cs="Arial"/>
                <w:color w:val="000000"/>
                <w:sz w:val="20"/>
              </w:rPr>
              <w:t>$2,900</w:t>
            </w:r>
          </w:p>
        </w:tc>
      </w:tr>
      <w:tr>
        <w:tc>
          <w:tcPr>
            <w:tcW w:type="dxa" w:w="4680"/>
          </w:tcPr>
          <w:p>
            <w:pPr>
              <w:spacing w:line="240" w:lineRule="auto" w:before="40" w:after="40"/>
            </w:pPr>
            <w:r>
              <w:rPr>
                <w:color w:val="000000"/>
                <w:sz w:val="20"/>
              </w:rPr>
            </w:r>
            <w:r>
              <w:rPr>
                <w:rFonts w:ascii="Arial" w:hAnsi="Arial" w:eastAsia="Arial" w:cs="Arial"/>
                <w:color w:val="000000"/>
                <w:sz w:val="20"/>
              </w:rPr>
              <w:t>Additional Medicare, 0.9% above $200,000</w:t>
            </w:r>
          </w:p>
        </w:tc>
        <w:tc>
          <w:tcPr>
            <w:tcW w:type="dxa" w:w="4680"/>
          </w:tcPr>
          <w:p>
            <w:pPr>
              <w:spacing w:line="240" w:lineRule="auto" w:before="40" w:after="40"/>
            </w:pPr>
            <w:r>
              <w:rPr>
                <w:color w:val="000000"/>
                <w:sz w:val="20"/>
              </w:rPr>
            </w:r>
            <w:r>
              <w:rPr>
                <w:rFonts w:ascii="Arial" w:hAnsi="Arial" w:eastAsia="Arial" w:cs="Arial"/>
                <w:color w:val="000000"/>
                <w:sz w:val="20"/>
              </w:rPr>
              <w:t>$0</w:t>
            </w:r>
          </w:p>
        </w:tc>
      </w:tr>
      <w:tr>
        <w:tc>
          <w:tcPr>
            <w:tcW w:type="dxa" w:w="4680"/>
          </w:tcPr>
          <w:p>
            <w:pPr>
              <w:spacing w:line="240" w:lineRule="auto" w:before="40" w:after="40"/>
            </w:pPr>
            <w:r>
              <w:rPr>
                <w:color w:val="000000"/>
                <w:sz w:val="20"/>
              </w:rPr>
            </w:r>
            <w:r>
              <w:rPr>
                <w:rFonts w:ascii="Arial" w:hAnsi="Arial" w:eastAsia="Arial" w:cs="Arial"/>
                <w:color w:val="000000"/>
                <w:sz w:val="20"/>
              </w:rPr>
              <w:t>New York taxable income (gross minus the $8,000 New York standard deduction)</w:t>
            </w:r>
          </w:p>
        </w:tc>
        <w:tc>
          <w:tcPr>
            <w:tcW w:type="dxa" w:w="4680"/>
          </w:tcPr>
          <w:p>
            <w:pPr>
              <w:spacing w:line="240" w:lineRule="auto" w:before="40" w:after="40"/>
            </w:pPr>
            <w:r>
              <w:rPr>
                <w:color w:val="000000"/>
                <w:sz w:val="20"/>
              </w:rPr>
            </w:r>
            <w:r>
              <w:rPr>
                <w:rFonts w:ascii="Arial" w:hAnsi="Arial" w:eastAsia="Arial" w:cs="Arial"/>
                <w:color w:val="000000"/>
                <w:sz w:val="20"/>
              </w:rPr>
              <w:t>$192,000</w:t>
            </w:r>
          </w:p>
        </w:tc>
      </w:tr>
      <w:tr>
        <w:tc>
          <w:tcPr>
            <w:tcW w:type="dxa" w:w="4680"/>
          </w:tcPr>
          <w:p>
            <w:pPr>
              <w:spacing w:line="240" w:lineRule="auto" w:before="40" w:after="40"/>
            </w:pPr>
            <w:r>
              <w:rPr>
                <w:color w:val="000000"/>
                <w:sz w:val="20"/>
              </w:rPr>
            </w:r>
            <w:r>
              <w:rPr>
                <w:rFonts w:ascii="Arial" w:hAnsi="Arial" w:eastAsia="Arial" w:cs="Arial"/>
                <w:color w:val="000000"/>
                <w:sz w:val="20"/>
              </w:rPr>
              <w:t>New York State tax (flat 5.9% under worksheet 7)</w:t>
            </w:r>
          </w:p>
        </w:tc>
        <w:tc>
          <w:tcPr>
            <w:tcW w:type="dxa" w:w="4680"/>
          </w:tcPr>
          <w:p>
            <w:pPr>
              <w:spacing w:line="240" w:lineRule="auto" w:before="40" w:after="40"/>
            </w:pPr>
            <w:r>
              <w:rPr>
                <w:color w:val="000000"/>
                <w:sz w:val="20"/>
              </w:rPr>
            </w:r>
            <w:r>
              <w:rPr>
                <w:rFonts w:ascii="Arial" w:hAnsi="Arial" w:eastAsia="Arial" w:cs="Arial"/>
                <w:color w:val="000000"/>
                <w:sz w:val="20"/>
              </w:rPr>
              <w:t>$11,328</w:t>
            </w:r>
          </w:p>
        </w:tc>
      </w:tr>
      <w:tr>
        <w:tc>
          <w:tcPr>
            <w:tcW w:type="dxa" w:w="4680"/>
          </w:tcPr>
          <w:p>
            <w:pPr>
              <w:spacing w:line="240" w:lineRule="auto" w:before="40" w:after="40"/>
            </w:pPr>
            <w:r>
              <w:rPr>
                <w:color w:val="000000"/>
                <w:sz w:val="20"/>
              </w:rPr>
            </w:r>
            <w:r>
              <w:rPr>
                <w:rFonts w:ascii="Arial" w:hAnsi="Arial" w:eastAsia="Arial" w:cs="Arial"/>
                <w:color w:val="000000"/>
                <w:sz w:val="20"/>
              </w:rPr>
              <w:t>New York City resident tax</w:t>
            </w:r>
          </w:p>
        </w:tc>
        <w:tc>
          <w:tcPr>
            <w:tcW w:type="dxa" w:w="4680"/>
          </w:tcPr>
          <w:p>
            <w:pPr>
              <w:spacing w:line="240" w:lineRule="auto" w:before="40" w:after="40"/>
            </w:pPr>
            <w:r>
              <w:rPr>
                <w:color w:val="000000"/>
                <w:sz w:val="20"/>
              </w:rPr>
            </w:r>
            <w:r>
              <w:rPr>
                <w:rFonts w:ascii="Arial" w:hAnsi="Arial" w:eastAsia="Arial" w:cs="Arial"/>
                <w:color w:val="000000"/>
                <w:sz w:val="20"/>
              </w:rPr>
              <w:t>$7,317</w:t>
            </w:r>
          </w:p>
        </w:tc>
      </w:tr>
      <w:tr>
        <w:tc>
          <w:tcPr>
            <w:tcW w:type="dxa" w:w="4680"/>
          </w:tcPr>
          <w:p>
            <w:pPr>
              <w:spacing w:line="240" w:lineRule="auto" w:before="40" w:after="40"/>
            </w:pPr>
            <w:r>
              <w:rPr>
                <w:color w:val="000000"/>
                <w:sz w:val="20"/>
              </w:rPr>
            </w:r>
            <w:r>
              <w:rPr>
                <w:rFonts w:ascii="Arial" w:hAnsi="Arial" w:eastAsia="Arial" w:cs="Arial"/>
                <w:color w:val="000000"/>
                <w:sz w:val="20"/>
              </w:rPr>
              <w:t>Total taxes</w:t>
            </w:r>
          </w:p>
        </w:tc>
        <w:tc>
          <w:tcPr>
            <w:tcW w:type="dxa" w:w="4680"/>
          </w:tcPr>
          <w:p>
            <w:pPr>
              <w:spacing w:line="240" w:lineRule="auto" w:before="40" w:after="40"/>
            </w:pPr>
            <w:r>
              <w:rPr>
                <w:color w:val="000000"/>
                <w:sz w:val="20"/>
              </w:rPr>
            </w:r>
            <w:r>
              <w:rPr>
                <w:rFonts w:ascii="Arial" w:hAnsi="Arial" w:eastAsia="Arial" w:cs="Arial"/>
                <w:color w:val="000000"/>
                <w:sz w:val="20"/>
              </w:rPr>
              <w:t>$69,718</w:t>
            </w:r>
          </w:p>
        </w:tc>
      </w:tr>
      <w:tr>
        <w:tc>
          <w:tcPr>
            <w:tcW w:type="dxa" w:w="4680"/>
          </w:tcPr>
          <w:p>
            <w:pPr>
              <w:spacing w:line="240" w:lineRule="auto" w:before="40" w:after="40"/>
            </w:pPr>
            <w:r>
              <w:rPr>
                <w:color w:val="000000"/>
                <w:sz w:val="20"/>
              </w:rPr>
            </w:r>
            <w:r>
              <w:rPr>
                <w:rFonts w:ascii="Arial" w:hAnsi="Arial" w:eastAsia="Arial" w:cs="Arial"/>
                <w:color w:val="000000"/>
                <w:sz w:val="20"/>
              </w:rPr>
              <w:t>Take-home pay</w:t>
            </w:r>
          </w:p>
        </w:tc>
        <w:tc>
          <w:tcPr>
            <w:tcW w:type="dxa" w:w="4680"/>
          </w:tcPr>
          <w:p>
            <w:pPr>
              <w:spacing w:line="240" w:lineRule="auto" w:before="40" w:after="40"/>
            </w:pPr>
            <w:r>
              <w:rPr>
                <w:color w:val="000000"/>
                <w:sz w:val="20"/>
              </w:rPr>
            </w:r>
            <w:r>
              <w:rPr>
                <w:rFonts w:ascii="Arial" w:hAnsi="Arial" w:eastAsia="Arial" w:cs="Arial"/>
                <w:color w:val="000000"/>
                <w:sz w:val="20"/>
              </w:rPr>
              <w:t>$130,282</w:t>
            </w:r>
          </w:p>
        </w:tc>
      </w:tr>
      <w:tr>
        <w:tc>
          <w:tcPr>
            <w:tcW w:type="dxa" w:w="4680"/>
          </w:tcPr>
          <w:p>
            <w:pPr>
              <w:spacing w:line="240" w:lineRule="auto" w:before="40" w:after="40"/>
            </w:pPr>
            <w:r>
              <w:rPr>
                <w:color w:val="000000"/>
                <w:sz w:val="20"/>
              </w:rPr>
            </w:r>
            <w:r>
              <w:rPr>
                <w:rFonts w:ascii="Arial" w:hAnsi="Arial" w:eastAsia="Arial" w:cs="Arial"/>
                <w:color w:val="000000"/>
                <w:sz w:val="20"/>
              </w:rPr>
              <w:t>Take-home as a share of gross</w:t>
            </w:r>
          </w:p>
        </w:tc>
        <w:tc>
          <w:tcPr>
            <w:tcW w:type="dxa" w:w="4680"/>
          </w:tcPr>
          <w:p>
            <w:pPr>
              <w:spacing w:line="240" w:lineRule="auto" w:before="40" w:after="40"/>
            </w:pPr>
            <w:r>
              <w:rPr>
                <w:color w:val="000000"/>
                <w:sz w:val="20"/>
              </w:rPr>
            </w:r>
            <w:r>
              <w:rPr>
                <w:rFonts w:ascii="Arial" w:hAnsi="Arial" w:eastAsia="Arial" w:cs="Arial"/>
                <w:color w:val="000000"/>
                <w:sz w:val="20"/>
              </w:rPr>
              <w:t>65.1%</w:t>
            </w:r>
          </w:p>
        </w:tc>
      </w:tr>
      <w:tr>
        <w:tc>
          <w:tcPr>
            <w:tcW w:type="dxa" w:w="4680"/>
          </w:tcPr>
          <w:p>
            <w:pPr>
              <w:spacing w:line="240" w:lineRule="auto" w:before="40" w:after="40"/>
            </w:pPr>
            <w:r>
              <w:rPr>
                <w:color w:val="000000"/>
                <w:sz w:val="20"/>
              </w:rPr>
            </w:r>
            <w:r>
              <w:rPr>
                <w:rFonts w:ascii="Arial" w:hAnsi="Arial" w:eastAsia="Arial" w:cs="Arial"/>
                <w:color w:val="000000"/>
                <w:sz w:val="20"/>
              </w:rPr>
              <w:t>Effective tax rate</w:t>
            </w:r>
          </w:p>
        </w:tc>
        <w:tc>
          <w:tcPr>
            <w:tcW w:type="dxa" w:w="4680"/>
          </w:tcPr>
          <w:p>
            <w:pPr>
              <w:spacing w:line="240" w:lineRule="auto" w:before="40" w:after="40"/>
            </w:pPr>
            <w:r>
              <w:rPr>
                <w:color w:val="000000"/>
                <w:sz w:val="20"/>
              </w:rPr>
            </w:r>
            <w:r>
              <w:rPr>
                <w:rFonts w:ascii="Arial" w:hAnsi="Arial" w:eastAsia="Arial" w:cs="Arial"/>
                <w:color w:val="000000"/>
                <w:sz w:val="20"/>
              </w:rPr>
              <w:t>34.9%</w:t>
            </w:r>
          </w:p>
        </w:tc>
      </w:tr>
      <w:tr>
        <w:tc>
          <w:tcPr>
            <w:tcW w:type="dxa" w:w="4680"/>
          </w:tcPr>
          <w:p>
            <w:pPr>
              <w:spacing w:line="240" w:lineRule="auto" w:before="40" w:after="40"/>
            </w:pPr>
            <w:r>
              <w:rPr>
                <w:color w:val="000000"/>
                <w:sz w:val="20"/>
              </w:rPr>
            </w:r>
            <w:r>
              <w:rPr>
                <w:rFonts w:ascii="Arial" w:hAnsi="Arial" w:eastAsia="Arial" w:cs="Arial"/>
                <w:color w:val="000000"/>
                <w:sz w:val="20"/>
              </w:rPr>
              <w:t>Take-home per month</w:t>
            </w:r>
          </w:p>
        </w:tc>
        <w:tc>
          <w:tcPr>
            <w:tcW w:type="dxa" w:w="4680"/>
          </w:tcPr>
          <w:p>
            <w:pPr>
              <w:spacing w:line="240" w:lineRule="auto" w:before="40" w:after="40"/>
            </w:pPr>
            <w:r>
              <w:rPr>
                <w:color w:val="000000"/>
                <w:sz w:val="20"/>
              </w:rPr>
            </w:r>
            <w:r>
              <w:rPr>
                <w:rFonts w:ascii="Arial" w:hAnsi="Arial" w:eastAsia="Arial" w:cs="Arial"/>
                <w:color w:val="000000"/>
                <w:sz w:val="20"/>
              </w:rPr>
              <w:t>$10,857</w:t>
            </w:r>
          </w:p>
        </w:tc>
      </w:tr>
    </w:tbl>
    <w:p>
      <w:pPr/>
    </w:p>
    <w:p>
      <w:pPr>
        <w:spacing w:line="240" w:lineRule="auto"/>
        <w:jc w:val="center"/>
      </w:pPr>
      <w:r>
        <w:drawing>
          <wp:inline xmlns:a="http://schemas.openxmlformats.org/drawingml/2006/main" xmlns:pic="http://schemas.openxmlformats.org/drawingml/2006/picture">
            <wp:extent cx="5943600" cy="3585859"/>
            <wp:docPr id="4" name="Picture 4"/>
            <wp:cNvGraphicFramePr>
              <a:graphicFrameLocks noChangeAspect="1"/>
            </wp:cNvGraphicFramePr>
            <a:graphic>
              <a:graphicData uri="http://schemas.openxmlformats.org/drawingml/2006/picture">
                <pic:pic>
                  <pic:nvPicPr>
                    <pic:cNvPr id="0" name="04-gross-to-net-new-york.png"/>
                    <pic:cNvPicPr/>
                  </pic:nvPicPr>
                  <pic:blipFill>
                    <a:blip r:embed="rId14"/>
                    <a:stretch>
                      <a:fillRect/>
                    </a:stretch>
                  </pic:blipFill>
                  <pic:spPr>
                    <a:xfrm>
                      <a:off x="0" y="0"/>
                      <a:ext cx="5943600" cy="3585859"/>
                    </a:xfrm>
                    <a:prstGeom prst="rect"/>
                  </pic:spPr>
                </pic:pic>
              </a:graphicData>
            </a:graphic>
          </wp:inline>
        </w:drawing>
      </w:r>
    </w:p>
    <w:p>
      <w:pPr>
        <w:jc w:val="center"/>
      </w:pPr>
      <w:r>
        <w:rPr>
          <w:rFonts w:ascii="Arial" w:hAnsi="Arial" w:eastAsia="Arial" w:cs="Arial"/>
          <w:i/>
          <w:sz w:val="20"/>
        </w:rPr>
        <w:t>Federal income tax is the biggest bar at 18.4 percent of gross, and the two New York bars together are the $18,645 that a Houston analyst never pays.</w:t>
      </w:r>
    </w:p>
    <w:p>
      <w:pPr/>
    </w:p>
    <w:p>
      <w:pPr/>
      <w:r>
        <w:rPr>
          <w:rFonts w:ascii="Arial" w:hAnsi="Arial" w:eastAsia="Arial" w:cs="Arial"/>
        </w:rPr>
        <w:t>[VERIFY: every input above per the sources in this section; arithmetic script-checked in `numbers_investment-banking-analyst-salary-2027.py`]</w:t>
      </w:r>
    </w:p>
    <w:p>
      <w:pPr/>
    </w:p>
    <w:p>
      <w:pPr/>
      <w:r>
        <w:rPr>
          <w:rFonts w:ascii="Arial" w:hAnsi="Arial" w:eastAsia="Arial" w:cs="Arial"/>
          <w:b/>
        </w:rPr>
        <w:t>A $200,000 investment banking analyst salary in New York City becomes $130,282 of take-home, about $10,857 a month: 18.4 percent of gross goes to federal income tax, 7.2 percent to Social Security and Medicare, 5.7 percent to the state and 3.7 percent to the city.</w:t>
      </w:r>
      <w:r>
        <w:rPr>
          <w:rFonts w:ascii="Arial" w:hAnsi="Arial" w:eastAsia="Arial" w:cs="Arial"/>
        </w:rPr>
        <w:t xml:space="preserve"> The split is worth remembering because the federal part is the same everywhere in the country. The New York part is what you're choosing when you choose the city.</w:t>
      </w:r>
    </w:p>
    <w:p>
      <w:pPr/>
    </w:p>
    <w:p>
      <w:pPr/>
      <w:r>
        <w:rPr>
          <w:rFonts w:ascii="Arial" w:hAnsi="Arial" w:eastAsia="Arial" w:cs="Arial"/>
        </w:rPr>
        <w:t>One more number before moving on, because it changes how you think about the bonus. At $200,000 in New York, the next dollar you earn is taxed at 24 percent federal, 5.9 percent state and 3.876 percent city, plus 1.45 percent Medicare and the 0.9 percent additional Medicare that kicks in right at $200,000. That's 36.1 percent, and it's 41.4 percent on dollars earned between $157,650 and the $184,500 wage base, when Social Security's 6.2 percent is still being taken. So of a $10,000 bigger bonus, you keep about $6,400.</w:t>
      </w:r>
    </w:p>
    <w:p>
      <w:pPr/>
    </w:p>
    <w:p>
      <w:pPr/>
      <w:r>
        <w:rPr>
          <w:rFonts w:ascii="Arial" w:hAnsi="Arial" w:eastAsia="Arial" w:cs="Arial"/>
        </w:rPr>
        <w:t>A note on the calendar. A July 2027 start means your first calendar year holds six months of base and no full bonus. On a $120,000 base that's $60,000 of gross pay, taxed at only 23.6 percent ($14,144) because the deductions and the low brackets cover a much bigger share of a half year of income. Your first W-2 will look gentle. The second calendar year, with twelve months of base and the first full bonus, is the one the table above describes.</w:t>
      </w:r>
    </w:p>
    <w:p>
      <w:pPr/>
    </w:p>
    <w:p>
      <w:pPr>
        <w:pStyle w:val="Heading2"/>
      </w:pPr>
      <w:r>
        <w:rPr>
          <w:rFonts w:ascii="Arial" w:hAnsi="Arial" w:eastAsia="Arial" w:cs="Arial"/>
        </w:rPr>
        <w:t>5. A 6 percent 401(k) contribution costs you about $660 per $1,000, not $1,000</w:t>
      </w:r>
    </w:p>
    <w:p>
      <w:pPr/>
      <w:r>
        <w:rPr>
          <w:rFonts w:ascii="Arial" w:hAnsi="Arial" w:eastAsia="Arial" w:cs="Arial"/>
        </w:rPr>
        <w:t>Almost every bank lets you put part of each paycheck into a 401(k) before tax, and many match some of it. Students skip it in year one because the deposit already feels small. Here is what the deduction actually does to the same analyst.</w:t>
      </w:r>
    </w:p>
    <w:p>
      <w:pPr/>
    </w:p>
    <w:p>
      <w:pPr/>
      <w:r>
        <w:rPr>
          <w:rFonts w:ascii="Arial" w:hAnsi="Arial" w:eastAsia="Arial" w:cs="Arial"/>
          <w:b/>
        </w:rPr>
        <w:t>A 401(k) deferral comes out of your pay before federal, state and city income tax are calculated, but not before Social Security and Medicare, while a health premium paid through the bank's plan comes out before all five.</w:t>
      </w:r>
      <w:r>
        <w:rPr>
          <w:rFonts w:ascii="Arial" w:hAnsi="Arial" w:eastAsia="Arial" w:cs="Arial"/>
        </w:rPr>
        <w:t xml:space="preserve"> That difference is the whole table below. Assume 6 percent of gross, or $12,000, goes into the 401(k), well under the 2026 limit of $24,500, and the analyst pays $1,500 a year for the bank's single health plan, which is close to the $1,440 average worker contribution for single coverage in KFF's 2025 employer survey [VERIFY: $24,500 limit per IRS Notice 2025-67; $1,440 per KFF 2025 Employer Health Benefits Survey; your bank's premium will differ].</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Line</w:t>
            </w:r>
          </w:p>
        </w:tc>
        <w:tc>
          <w:tcPr>
            <w:tcW w:type="dxa" w:w="3120"/>
          </w:tcPr>
          <w:p>
            <w:pPr>
              <w:spacing w:line="240" w:lineRule="auto" w:before="40" w:after="40"/>
            </w:pPr>
            <w:r>
              <w:rPr>
                <w:color w:val="000000"/>
                <w:sz w:val="20"/>
              </w:rPr>
            </w:r>
            <w:r>
              <w:rPr>
                <w:rFonts w:ascii="Arial" w:hAnsi="Arial" w:eastAsia="Arial" w:cs="Arial"/>
                <w:b/>
                <w:color w:val="000000"/>
                <w:sz w:val="20"/>
              </w:rPr>
              <w:t>No deductions</w:t>
            </w:r>
          </w:p>
        </w:tc>
        <w:tc>
          <w:tcPr>
            <w:tcW w:type="dxa" w:w="3120"/>
          </w:tcPr>
          <w:p>
            <w:pPr>
              <w:spacing w:line="240" w:lineRule="auto" w:before="40" w:after="40"/>
            </w:pPr>
            <w:r>
              <w:rPr>
                <w:color w:val="000000"/>
                <w:sz w:val="20"/>
              </w:rPr>
            </w:r>
            <w:r>
              <w:rPr>
                <w:rFonts w:ascii="Arial" w:hAnsi="Arial" w:eastAsia="Arial" w:cs="Arial"/>
                <w:b/>
                <w:color w:val="000000"/>
                <w:sz w:val="20"/>
              </w:rPr>
              <w:t>6% 401(k) + health</w:t>
            </w:r>
          </w:p>
        </w:tc>
      </w:tr>
      <w:tr>
        <w:tc>
          <w:tcPr>
            <w:tcW w:type="dxa" w:w="3120"/>
          </w:tcPr>
          <w:p>
            <w:pPr>
              <w:spacing w:line="240" w:lineRule="auto" w:before="40" w:after="40"/>
            </w:pPr>
            <w:r>
              <w:rPr>
                <w:color w:val="000000"/>
                <w:sz w:val="20"/>
              </w:rPr>
            </w:r>
            <w:r>
              <w:rPr>
                <w:rFonts w:ascii="Arial" w:hAnsi="Arial" w:eastAsia="Arial" w:cs="Arial"/>
                <w:color w:val="000000"/>
                <w:sz w:val="20"/>
              </w:rPr>
              <w:t>Gross pay</w:t>
            </w:r>
          </w:p>
        </w:tc>
        <w:tc>
          <w:tcPr>
            <w:tcW w:type="dxa" w:w="3120"/>
          </w:tcPr>
          <w:p>
            <w:pPr>
              <w:spacing w:line="240" w:lineRule="auto" w:before="40" w:after="40"/>
            </w:pPr>
            <w:r>
              <w:rPr>
                <w:color w:val="000000"/>
                <w:sz w:val="20"/>
              </w:rPr>
            </w:r>
            <w:r>
              <w:rPr>
                <w:rFonts w:ascii="Arial" w:hAnsi="Arial" w:eastAsia="Arial" w:cs="Arial"/>
                <w:color w:val="000000"/>
                <w:sz w:val="20"/>
              </w:rPr>
              <w:t>$200,000</w:t>
            </w:r>
          </w:p>
        </w:tc>
        <w:tc>
          <w:tcPr>
            <w:tcW w:type="dxa" w:w="3120"/>
          </w:tcPr>
          <w:p>
            <w:pPr>
              <w:spacing w:line="240" w:lineRule="auto" w:before="40" w:after="40"/>
            </w:pPr>
            <w:r>
              <w:rPr>
                <w:color w:val="000000"/>
                <w:sz w:val="20"/>
              </w:rPr>
            </w:r>
            <w:r>
              <w:rPr>
                <w:rFonts w:ascii="Arial" w:hAnsi="Arial" w:eastAsia="Arial" w:cs="Arial"/>
                <w:color w:val="000000"/>
                <w:sz w:val="20"/>
              </w:rPr>
              <w:t>$200,000</w:t>
            </w:r>
          </w:p>
        </w:tc>
      </w:tr>
      <w:tr>
        <w:tc>
          <w:tcPr>
            <w:tcW w:type="dxa" w:w="3120"/>
          </w:tcPr>
          <w:p>
            <w:pPr>
              <w:spacing w:line="240" w:lineRule="auto" w:before="40" w:after="40"/>
            </w:pPr>
            <w:r>
              <w:rPr>
                <w:color w:val="000000"/>
                <w:sz w:val="20"/>
              </w:rPr>
            </w:r>
            <w:r>
              <w:rPr>
                <w:rFonts w:ascii="Arial" w:hAnsi="Arial" w:eastAsia="Arial" w:cs="Arial"/>
                <w:color w:val="000000"/>
                <w:sz w:val="20"/>
              </w:rPr>
              <w:t>401(k) deferral (6% of gross)</w:t>
            </w:r>
          </w:p>
        </w:tc>
        <w:tc>
          <w:tcPr>
            <w:tcW w:type="dxa" w:w="3120"/>
          </w:tcPr>
          <w:p>
            <w:pPr>
              <w:spacing w:line="240" w:lineRule="auto" w:before="40" w:after="40"/>
            </w:pPr>
            <w:r>
              <w:rPr>
                <w:color w:val="000000"/>
                <w:sz w:val="20"/>
              </w:rPr>
            </w:r>
            <w:r>
              <w:rPr>
                <w:rFonts w:ascii="Arial" w:hAnsi="Arial" w:eastAsia="Arial" w:cs="Arial"/>
                <w:color w:val="000000"/>
                <w:sz w:val="20"/>
              </w:rPr>
              <w:t>$0</w:t>
            </w:r>
          </w:p>
        </w:tc>
        <w:tc>
          <w:tcPr>
            <w:tcW w:type="dxa" w:w="3120"/>
          </w:tcPr>
          <w:p>
            <w:pPr>
              <w:spacing w:line="240" w:lineRule="auto" w:before="40" w:after="40"/>
            </w:pPr>
            <w:r>
              <w:rPr>
                <w:color w:val="000000"/>
                <w:sz w:val="20"/>
              </w:rPr>
            </w:r>
            <w:r>
              <w:rPr>
                <w:rFonts w:ascii="Arial" w:hAnsi="Arial" w:eastAsia="Arial" w:cs="Arial"/>
                <w:color w:val="000000"/>
                <w:sz w:val="20"/>
              </w:rPr>
              <w:t>$12,000</w:t>
            </w:r>
          </w:p>
        </w:tc>
      </w:tr>
      <w:tr>
        <w:tc>
          <w:tcPr>
            <w:tcW w:type="dxa" w:w="3120"/>
          </w:tcPr>
          <w:p>
            <w:pPr>
              <w:spacing w:line="240" w:lineRule="auto" w:before="40" w:after="40"/>
            </w:pPr>
            <w:r>
              <w:rPr>
                <w:color w:val="000000"/>
                <w:sz w:val="20"/>
              </w:rPr>
            </w:r>
            <w:r>
              <w:rPr>
                <w:rFonts w:ascii="Arial" w:hAnsi="Arial" w:eastAsia="Arial" w:cs="Arial"/>
                <w:color w:val="000000"/>
                <w:sz w:val="20"/>
              </w:rPr>
              <w:t>Health premium (pre-tax)</w:t>
            </w:r>
          </w:p>
        </w:tc>
        <w:tc>
          <w:tcPr>
            <w:tcW w:type="dxa" w:w="3120"/>
          </w:tcPr>
          <w:p>
            <w:pPr>
              <w:spacing w:line="240" w:lineRule="auto" w:before="40" w:after="40"/>
            </w:pPr>
            <w:r>
              <w:rPr>
                <w:color w:val="000000"/>
                <w:sz w:val="20"/>
              </w:rPr>
            </w:r>
            <w:r>
              <w:rPr>
                <w:rFonts w:ascii="Arial" w:hAnsi="Arial" w:eastAsia="Arial" w:cs="Arial"/>
                <w:color w:val="000000"/>
                <w:sz w:val="20"/>
              </w:rPr>
              <w:t>$0</w:t>
            </w:r>
          </w:p>
        </w:tc>
        <w:tc>
          <w:tcPr>
            <w:tcW w:type="dxa" w:w="3120"/>
          </w:tcPr>
          <w:p>
            <w:pPr>
              <w:spacing w:line="240" w:lineRule="auto" w:before="40" w:after="40"/>
            </w:pPr>
            <w:r>
              <w:rPr>
                <w:color w:val="000000"/>
                <w:sz w:val="20"/>
              </w:rPr>
            </w:r>
            <w:r>
              <w:rPr>
                <w:rFonts w:ascii="Arial" w:hAnsi="Arial" w:eastAsia="Arial" w:cs="Arial"/>
                <w:color w:val="000000"/>
                <w:sz w:val="20"/>
              </w:rPr>
              <w:t>$1,500</w:t>
            </w:r>
          </w:p>
        </w:tc>
      </w:tr>
      <w:tr>
        <w:tc>
          <w:tcPr>
            <w:tcW w:type="dxa" w:w="3120"/>
          </w:tcPr>
          <w:p>
            <w:pPr>
              <w:spacing w:line="240" w:lineRule="auto" w:before="40" w:after="40"/>
            </w:pPr>
            <w:r>
              <w:rPr>
                <w:color w:val="000000"/>
                <w:sz w:val="20"/>
              </w:rPr>
            </w:r>
            <w:r>
              <w:rPr>
                <w:rFonts w:ascii="Arial" w:hAnsi="Arial" w:eastAsia="Arial" w:cs="Arial"/>
                <w:color w:val="000000"/>
                <w:sz w:val="20"/>
              </w:rPr>
              <w:t>Wages subject to income tax</w:t>
            </w:r>
          </w:p>
        </w:tc>
        <w:tc>
          <w:tcPr>
            <w:tcW w:type="dxa" w:w="3120"/>
          </w:tcPr>
          <w:p>
            <w:pPr>
              <w:spacing w:line="240" w:lineRule="auto" w:before="40" w:after="40"/>
            </w:pPr>
            <w:r>
              <w:rPr>
                <w:color w:val="000000"/>
                <w:sz w:val="20"/>
              </w:rPr>
            </w:r>
            <w:r>
              <w:rPr>
                <w:rFonts w:ascii="Arial" w:hAnsi="Arial" w:eastAsia="Arial" w:cs="Arial"/>
                <w:color w:val="000000"/>
                <w:sz w:val="20"/>
              </w:rPr>
              <w:t>$200,000</w:t>
            </w:r>
          </w:p>
        </w:tc>
        <w:tc>
          <w:tcPr>
            <w:tcW w:type="dxa" w:w="3120"/>
          </w:tcPr>
          <w:p>
            <w:pPr>
              <w:spacing w:line="240" w:lineRule="auto" w:before="40" w:after="40"/>
            </w:pPr>
            <w:r>
              <w:rPr>
                <w:color w:val="000000"/>
                <w:sz w:val="20"/>
              </w:rPr>
            </w:r>
            <w:r>
              <w:rPr>
                <w:rFonts w:ascii="Arial" w:hAnsi="Arial" w:eastAsia="Arial" w:cs="Arial"/>
                <w:color w:val="000000"/>
                <w:sz w:val="20"/>
              </w:rPr>
              <w:t>$186,500</w:t>
            </w:r>
          </w:p>
        </w:tc>
      </w:tr>
      <w:tr>
        <w:tc>
          <w:tcPr>
            <w:tcW w:type="dxa" w:w="3120"/>
          </w:tcPr>
          <w:p>
            <w:pPr>
              <w:spacing w:line="240" w:lineRule="auto" w:before="40" w:after="40"/>
            </w:pPr>
            <w:r>
              <w:rPr>
                <w:color w:val="000000"/>
                <w:sz w:val="20"/>
              </w:rPr>
            </w:r>
            <w:r>
              <w:rPr>
                <w:rFonts w:ascii="Arial" w:hAnsi="Arial" w:eastAsia="Arial" w:cs="Arial"/>
                <w:color w:val="000000"/>
                <w:sz w:val="20"/>
              </w:rPr>
              <w:t>Wages subject to Social Security and Medicare</w:t>
            </w:r>
          </w:p>
        </w:tc>
        <w:tc>
          <w:tcPr>
            <w:tcW w:type="dxa" w:w="3120"/>
          </w:tcPr>
          <w:p>
            <w:pPr>
              <w:spacing w:line="240" w:lineRule="auto" w:before="40" w:after="40"/>
            </w:pPr>
            <w:r>
              <w:rPr>
                <w:color w:val="000000"/>
                <w:sz w:val="20"/>
              </w:rPr>
            </w:r>
            <w:r>
              <w:rPr>
                <w:rFonts w:ascii="Arial" w:hAnsi="Arial" w:eastAsia="Arial" w:cs="Arial"/>
                <w:color w:val="000000"/>
                <w:sz w:val="20"/>
              </w:rPr>
              <w:t>$200,000</w:t>
            </w:r>
          </w:p>
        </w:tc>
        <w:tc>
          <w:tcPr>
            <w:tcW w:type="dxa" w:w="3120"/>
          </w:tcPr>
          <w:p>
            <w:pPr>
              <w:spacing w:line="240" w:lineRule="auto" w:before="40" w:after="40"/>
            </w:pPr>
            <w:r>
              <w:rPr>
                <w:color w:val="000000"/>
                <w:sz w:val="20"/>
              </w:rPr>
            </w:r>
            <w:r>
              <w:rPr>
                <w:rFonts w:ascii="Arial" w:hAnsi="Arial" w:eastAsia="Arial" w:cs="Arial"/>
                <w:color w:val="000000"/>
                <w:sz w:val="20"/>
              </w:rPr>
              <w:t>$198,500</w:t>
            </w:r>
          </w:p>
        </w:tc>
      </w:tr>
      <w:tr>
        <w:tc>
          <w:tcPr>
            <w:tcW w:type="dxa" w:w="3120"/>
          </w:tcPr>
          <w:p>
            <w:pPr>
              <w:spacing w:line="240" w:lineRule="auto" w:before="40" w:after="40"/>
            </w:pPr>
            <w:r>
              <w:rPr>
                <w:color w:val="000000"/>
                <w:sz w:val="20"/>
              </w:rPr>
            </w:r>
            <w:r>
              <w:rPr>
                <w:rFonts w:ascii="Arial" w:hAnsi="Arial" w:eastAsia="Arial" w:cs="Arial"/>
                <w:color w:val="000000"/>
                <w:sz w:val="20"/>
              </w:rPr>
              <w:t>Federal income tax</w:t>
            </w:r>
          </w:p>
        </w:tc>
        <w:tc>
          <w:tcPr>
            <w:tcW w:type="dxa" w:w="3120"/>
          </w:tcPr>
          <w:p>
            <w:pPr>
              <w:spacing w:line="240" w:lineRule="auto" w:before="40" w:after="40"/>
            </w:pPr>
            <w:r>
              <w:rPr>
                <w:color w:val="000000"/>
                <w:sz w:val="20"/>
              </w:rPr>
            </w:r>
            <w:r>
              <w:rPr>
                <w:rFonts w:ascii="Arial" w:hAnsi="Arial" w:eastAsia="Arial" w:cs="Arial"/>
                <w:color w:val="000000"/>
                <w:sz w:val="20"/>
              </w:rPr>
              <w:t>$36,734</w:t>
            </w:r>
          </w:p>
        </w:tc>
        <w:tc>
          <w:tcPr>
            <w:tcW w:type="dxa" w:w="3120"/>
          </w:tcPr>
          <w:p>
            <w:pPr>
              <w:spacing w:line="240" w:lineRule="auto" w:before="40" w:after="40"/>
            </w:pPr>
            <w:r>
              <w:rPr>
                <w:color w:val="000000"/>
                <w:sz w:val="20"/>
              </w:rPr>
            </w:r>
            <w:r>
              <w:rPr>
                <w:rFonts w:ascii="Arial" w:hAnsi="Arial" w:eastAsia="Arial" w:cs="Arial"/>
                <w:color w:val="000000"/>
                <w:sz w:val="20"/>
              </w:rPr>
              <w:t>$33,494</w:t>
            </w:r>
          </w:p>
        </w:tc>
      </w:tr>
      <w:tr>
        <w:tc>
          <w:tcPr>
            <w:tcW w:type="dxa" w:w="3120"/>
          </w:tcPr>
          <w:p>
            <w:pPr>
              <w:spacing w:line="240" w:lineRule="auto" w:before="40" w:after="40"/>
            </w:pPr>
            <w:r>
              <w:rPr>
                <w:color w:val="000000"/>
                <w:sz w:val="20"/>
              </w:rPr>
            </w:r>
            <w:r>
              <w:rPr>
                <w:rFonts w:ascii="Arial" w:hAnsi="Arial" w:eastAsia="Arial" w:cs="Arial"/>
                <w:color w:val="000000"/>
                <w:sz w:val="20"/>
              </w:rPr>
              <w:t>Social Security</w:t>
            </w:r>
          </w:p>
        </w:tc>
        <w:tc>
          <w:tcPr>
            <w:tcW w:type="dxa" w:w="3120"/>
          </w:tcPr>
          <w:p>
            <w:pPr>
              <w:spacing w:line="240" w:lineRule="auto" w:before="40" w:after="40"/>
            </w:pPr>
            <w:r>
              <w:rPr>
                <w:color w:val="000000"/>
                <w:sz w:val="20"/>
              </w:rPr>
            </w:r>
            <w:r>
              <w:rPr>
                <w:rFonts w:ascii="Arial" w:hAnsi="Arial" w:eastAsia="Arial" w:cs="Arial"/>
                <w:color w:val="000000"/>
                <w:sz w:val="20"/>
              </w:rPr>
              <w:t>$11,439</w:t>
            </w:r>
          </w:p>
        </w:tc>
        <w:tc>
          <w:tcPr>
            <w:tcW w:type="dxa" w:w="3120"/>
          </w:tcPr>
          <w:p>
            <w:pPr>
              <w:spacing w:line="240" w:lineRule="auto" w:before="40" w:after="40"/>
            </w:pPr>
            <w:r>
              <w:rPr>
                <w:color w:val="000000"/>
                <w:sz w:val="20"/>
              </w:rPr>
            </w:r>
            <w:r>
              <w:rPr>
                <w:rFonts w:ascii="Arial" w:hAnsi="Arial" w:eastAsia="Arial" w:cs="Arial"/>
                <w:color w:val="000000"/>
                <w:sz w:val="20"/>
              </w:rPr>
              <w:t>$11,439</w:t>
            </w:r>
          </w:p>
        </w:tc>
      </w:tr>
      <w:tr>
        <w:tc>
          <w:tcPr>
            <w:tcW w:type="dxa" w:w="3120"/>
          </w:tcPr>
          <w:p>
            <w:pPr>
              <w:spacing w:line="240" w:lineRule="auto" w:before="40" w:after="40"/>
            </w:pPr>
            <w:r>
              <w:rPr>
                <w:color w:val="000000"/>
                <w:sz w:val="20"/>
              </w:rPr>
            </w:r>
            <w:r>
              <w:rPr>
                <w:rFonts w:ascii="Arial" w:hAnsi="Arial" w:eastAsia="Arial" w:cs="Arial"/>
                <w:color w:val="000000"/>
                <w:sz w:val="20"/>
              </w:rPr>
              <w:t>Medicare (including additional)</w:t>
            </w:r>
          </w:p>
        </w:tc>
        <w:tc>
          <w:tcPr>
            <w:tcW w:type="dxa" w:w="3120"/>
          </w:tcPr>
          <w:p>
            <w:pPr>
              <w:spacing w:line="240" w:lineRule="auto" w:before="40" w:after="40"/>
            </w:pPr>
            <w:r>
              <w:rPr>
                <w:color w:val="000000"/>
                <w:sz w:val="20"/>
              </w:rPr>
            </w:r>
            <w:r>
              <w:rPr>
                <w:rFonts w:ascii="Arial" w:hAnsi="Arial" w:eastAsia="Arial" w:cs="Arial"/>
                <w:color w:val="000000"/>
                <w:sz w:val="20"/>
              </w:rPr>
              <w:t>$2,900</w:t>
            </w:r>
          </w:p>
        </w:tc>
        <w:tc>
          <w:tcPr>
            <w:tcW w:type="dxa" w:w="3120"/>
          </w:tcPr>
          <w:p>
            <w:pPr>
              <w:spacing w:line="240" w:lineRule="auto" w:before="40" w:after="40"/>
            </w:pPr>
            <w:r>
              <w:rPr>
                <w:color w:val="000000"/>
                <w:sz w:val="20"/>
              </w:rPr>
            </w:r>
            <w:r>
              <w:rPr>
                <w:rFonts w:ascii="Arial" w:hAnsi="Arial" w:eastAsia="Arial" w:cs="Arial"/>
                <w:color w:val="000000"/>
                <w:sz w:val="20"/>
              </w:rPr>
              <w:t>$2,878</w:t>
            </w:r>
          </w:p>
        </w:tc>
      </w:tr>
      <w:tr>
        <w:tc>
          <w:tcPr>
            <w:tcW w:type="dxa" w:w="3120"/>
          </w:tcPr>
          <w:p>
            <w:pPr>
              <w:spacing w:line="240" w:lineRule="auto" w:before="40" w:after="40"/>
            </w:pPr>
            <w:r>
              <w:rPr>
                <w:color w:val="000000"/>
                <w:sz w:val="20"/>
              </w:rPr>
            </w:r>
            <w:r>
              <w:rPr>
                <w:rFonts w:ascii="Arial" w:hAnsi="Arial" w:eastAsia="Arial" w:cs="Arial"/>
                <w:color w:val="000000"/>
                <w:sz w:val="20"/>
              </w:rPr>
              <w:t>New York State tax</w:t>
            </w:r>
          </w:p>
        </w:tc>
        <w:tc>
          <w:tcPr>
            <w:tcW w:type="dxa" w:w="3120"/>
          </w:tcPr>
          <w:p>
            <w:pPr>
              <w:spacing w:line="240" w:lineRule="auto" w:before="40" w:after="40"/>
            </w:pPr>
            <w:r>
              <w:rPr>
                <w:color w:val="000000"/>
                <w:sz w:val="20"/>
              </w:rPr>
            </w:r>
            <w:r>
              <w:rPr>
                <w:rFonts w:ascii="Arial" w:hAnsi="Arial" w:eastAsia="Arial" w:cs="Arial"/>
                <w:color w:val="000000"/>
                <w:sz w:val="20"/>
              </w:rPr>
              <w:t>$11,328</w:t>
            </w:r>
          </w:p>
        </w:tc>
        <w:tc>
          <w:tcPr>
            <w:tcW w:type="dxa" w:w="3120"/>
          </w:tcPr>
          <w:p>
            <w:pPr>
              <w:spacing w:line="240" w:lineRule="auto" w:before="40" w:after="40"/>
            </w:pPr>
            <w:r>
              <w:rPr>
                <w:color w:val="000000"/>
                <w:sz w:val="20"/>
              </w:rPr>
            </w:r>
            <w:r>
              <w:rPr>
                <w:rFonts w:ascii="Arial" w:hAnsi="Arial" w:eastAsia="Arial" w:cs="Arial"/>
                <w:color w:val="000000"/>
                <w:sz w:val="20"/>
              </w:rPr>
              <w:t>$10,532</w:t>
            </w:r>
          </w:p>
        </w:tc>
      </w:tr>
      <w:tr>
        <w:tc>
          <w:tcPr>
            <w:tcW w:type="dxa" w:w="3120"/>
          </w:tcPr>
          <w:p>
            <w:pPr>
              <w:spacing w:line="240" w:lineRule="auto" w:before="40" w:after="40"/>
            </w:pPr>
            <w:r>
              <w:rPr>
                <w:color w:val="000000"/>
                <w:sz w:val="20"/>
              </w:rPr>
            </w:r>
            <w:r>
              <w:rPr>
                <w:rFonts w:ascii="Arial" w:hAnsi="Arial" w:eastAsia="Arial" w:cs="Arial"/>
                <w:color w:val="000000"/>
                <w:sz w:val="20"/>
              </w:rPr>
              <w:t>New York City tax</w:t>
            </w:r>
          </w:p>
        </w:tc>
        <w:tc>
          <w:tcPr>
            <w:tcW w:type="dxa" w:w="3120"/>
          </w:tcPr>
          <w:p>
            <w:pPr>
              <w:spacing w:line="240" w:lineRule="auto" w:before="40" w:after="40"/>
            </w:pPr>
            <w:r>
              <w:rPr>
                <w:color w:val="000000"/>
                <w:sz w:val="20"/>
              </w:rPr>
            </w:r>
            <w:r>
              <w:rPr>
                <w:rFonts w:ascii="Arial" w:hAnsi="Arial" w:eastAsia="Arial" w:cs="Arial"/>
                <w:color w:val="000000"/>
                <w:sz w:val="20"/>
              </w:rPr>
              <w:t>$7,317</w:t>
            </w:r>
          </w:p>
        </w:tc>
        <w:tc>
          <w:tcPr>
            <w:tcW w:type="dxa" w:w="3120"/>
          </w:tcPr>
          <w:p>
            <w:pPr>
              <w:spacing w:line="240" w:lineRule="auto" w:before="40" w:after="40"/>
            </w:pPr>
            <w:r>
              <w:rPr>
                <w:color w:val="000000"/>
                <w:sz w:val="20"/>
              </w:rPr>
            </w:r>
            <w:r>
              <w:rPr>
                <w:rFonts w:ascii="Arial" w:hAnsi="Arial" w:eastAsia="Arial" w:cs="Arial"/>
                <w:color w:val="000000"/>
                <w:sz w:val="20"/>
              </w:rPr>
              <w:t>$6,794</w:t>
            </w:r>
          </w:p>
        </w:tc>
      </w:tr>
      <w:tr>
        <w:tc>
          <w:tcPr>
            <w:tcW w:type="dxa" w:w="3120"/>
          </w:tcPr>
          <w:p>
            <w:pPr>
              <w:spacing w:line="240" w:lineRule="auto" w:before="40" w:after="40"/>
            </w:pPr>
            <w:r>
              <w:rPr>
                <w:color w:val="000000"/>
                <w:sz w:val="20"/>
              </w:rPr>
            </w:r>
            <w:r>
              <w:rPr>
                <w:rFonts w:ascii="Arial" w:hAnsi="Arial" w:eastAsia="Arial" w:cs="Arial"/>
                <w:color w:val="000000"/>
                <w:sz w:val="20"/>
              </w:rPr>
              <w:t>Total taxes</w:t>
            </w:r>
          </w:p>
        </w:tc>
        <w:tc>
          <w:tcPr>
            <w:tcW w:type="dxa" w:w="3120"/>
          </w:tcPr>
          <w:p>
            <w:pPr>
              <w:spacing w:line="240" w:lineRule="auto" w:before="40" w:after="40"/>
            </w:pPr>
            <w:r>
              <w:rPr>
                <w:color w:val="000000"/>
                <w:sz w:val="20"/>
              </w:rPr>
            </w:r>
            <w:r>
              <w:rPr>
                <w:rFonts w:ascii="Arial" w:hAnsi="Arial" w:eastAsia="Arial" w:cs="Arial"/>
                <w:color w:val="000000"/>
                <w:sz w:val="20"/>
              </w:rPr>
              <w:t>$69,718</w:t>
            </w:r>
          </w:p>
        </w:tc>
        <w:tc>
          <w:tcPr>
            <w:tcW w:type="dxa" w:w="3120"/>
          </w:tcPr>
          <w:p>
            <w:pPr>
              <w:spacing w:line="240" w:lineRule="auto" w:before="40" w:after="40"/>
            </w:pPr>
            <w:r>
              <w:rPr>
                <w:color w:val="000000"/>
                <w:sz w:val="20"/>
              </w:rPr>
            </w:r>
            <w:r>
              <w:rPr>
                <w:rFonts w:ascii="Arial" w:hAnsi="Arial" w:eastAsia="Arial" w:cs="Arial"/>
                <w:color w:val="000000"/>
                <w:sz w:val="20"/>
              </w:rPr>
              <w:t>$65,137</w:t>
            </w:r>
          </w:p>
        </w:tc>
      </w:tr>
      <w:tr>
        <w:tc>
          <w:tcPr>
            <w:tcW w:type="dxa" w:w="3120"/>
          </w:tcPr>
          <w:p>
            <w:pPr>
              <w:spacing w:line="240" w:lineRule="auto" w:before="40" w:after="40"/>
            </w:pPr>
            <w:r>
              <w:rPr>
                <w:color w:val="000000"/>
                <w:sz w:val="20"/>
              </w:rPr>
            </w:r>
            <w:r>
              <w:rPr>
                <w:rFonts w:ascii="Arial" w:hAnsi="Arial" w:eastAsia="Arial" w:cs="Arial"/>
                <w:color w:val="000000"/>
                <w:sz w:val="20"/>
              </w:rPr>
              <w:t>Cash in your checking account</w:t>
            </w:r>
          </w:p>
        </w:tc>
        <w:tc>
          <w:tcPr>
            <w:tcW w:type="dxa" w:w="3120"/>
          </w:tcPr>
          <w:p>
            <w:pPr>
              <w:spacing w:line="240" w:lineRule="auto" w:before="40" w:after="40"/>
            </w:pPr>
            <w:r>
              <w:rPr>
                <w:color w:val="000000"/>
                <w:sz w:val="20"/>
              </w:rPr>
            </w:r>
            <w:r>
              <w:rPr>
                <w:rFonts w:ascii="Arial" w:hAnsi="Arial" w:eastAsia="Arial" w:cs="Arial"/>
                <w:color w:val="000000"/>
                <w:sz w:val="20"/>
              </w:rPr>
              <w:t>$130,282</w:t>
            </w:r>
          </w:p>
        </w:tc>
        <w:tc>
          <w:tcPr>
            <w:tcW w:type="dxa" w:w="3120"/>
          </w:tcPr>
          <w:p>
            <w:pPr>
              <w:spacing w:line="240" w:lineRule="auto" w:before="40" w:after="40"/>
            </w:pPr>
            <w:r>
              <w:rPr>
                <w:color w:val="000000"/>
                <w:sz w:val="20"/>
              </w:rPr>
            </w:r>
            <w:r>
              <w:rPr>
                <w:rFonts w:ascii="Arial" w:hAnsi="Arial" w:eastAsia="Arial" w:cs="Arial"/>
                <w:color w:val="000000"/>
                <w:sz w:val="20"/>
              </w:rPr>
              <w:t>$121,363</w:t>
            </w:r>
          </w:p>
        </w:tc>
      </w:tr>
      <w:tr>
        <w:tc>
          <w:tcPr>
            <w:tcW w:type="dxa" w:w="3120"/>
          </w:tcPr>
          <w:p>
            <w:pPr>
              <w:spacing w:line="240" w:lineRule="auto" w:before="40" w:after="40"/>
            </w:pPr>
            <w:r>
              <w:rPr>
                <w:color w:val="000000"/>
                <w:sz w:val="20"/>
              </w:rPr>
            </w:r>
            <w:r>
              <w:rPr>
                <w:rFonts w:ascii="Arial" w:hAnsi="Arial" w:eastAsia="Arial" w:cs="Arial"/>
                <w:color w:val="000000"/>
                <w:sz w:val="20"/>
              </w:rPr>
              <w:t>Cash plus 401(k) balance</w:t>
            </w:r>
          </w:p>
        </w:tc>
        <w:tc>
          <w:tcPr>
            <w:tcW w:type="dxa" w:w="3120"/>
          </w:tcPr>
          <w:p>
            <w:pPr>
              <w:spacing w:line="240" w:lineRule="auto" w:before="40" w:after="40"/>
            </w:pPr>
            <w:r>
              <w:rPr>
                <w:color w:val="000000"/>
                <w:sz w:val="20"/>
              </w:rPr>
            </w:r>
            <w:r>
              <w:rPr>
                <w:rFonts w:ascii="Arial" w:hAnsi="Arial" w:eastAsia="Arial" w:cs="Arial"/>
                <w:color w:val="000000"/>
                <w:sz w:val="20"/>
              </w:rPr>
              <w:t>$130,282</w:t>
            </w:r>
          </w:p>
        </w:tc>
        <w:tc>
          <w:tcPr>
            <w:tcW w:type="dxa" w:w="3120"/>
          </w:tcPr>
          <w:p>
            <w:pPr>
              <w:spacing w:line="240" w:lineRule="auto" w:before="40" w:after="40"/>
            </w:pPr>
            <w:r>
              <w:rPr>
                <w:color w:val="000000"/>
                <w:sz w:val="20"/>
              </w:rPr>
            </w:r>
            <w:r>
              <w:rPr>
                <w:rFonts w:ascii="Arial" w:hAnsi="Arial" w:eastAsia="Arial" w:cs="Arial"/>
                <w:color w:val="000000"/>
                <w:sz w:val="20"/>
              </w:rPr>
              <w:t>$133,363</w:t>
            </w:r>
          </w:p>
        </w:tc>
      </w:tr>
      <w:tr>
        <w:tc>
          <w:tcPr>
            <w:tcW w:type="dxa" w:w="3120"/>
          </w:tcPr>
          <w:p>
            <w:pPr>
              <w:spacing w:line="240" w:lineRule="auto" w:before="40" w:after="40"/>
            </w:pPr>
            <w:r>
              <w:rPr>
                <w:color w:val="000000"/>
                <w:sz w:val="20"/>
              </w:rPr>
            </w:r>
            <w:r>
              <w:rPr>
                <w:rFonts w:ascii="Arial" w:hAnsi="Arial" w:eastAsia="Arial" w:cs="Arial"/>
                <w:color w:val="000000"/>
                <w:sz w:val="20"/>
              </w:rPr>
              <w:t>Take-home per month</w:t>
            </w:r>
          </w:p>
        </w:tc>
        <w:tc>
          <w:tcPr>
            <w:tcW w:type="dxa" w:w="3120"/>
          </w:tcPr>
          <w:p>
            <w:pPr>
              <w:spacing w:line="240" w:lineRule="auto" w:before="40" w:after="40"/>
            </w:pPr>
            <w:r>
              <w:rPr>
                <w:color w:val="000000"/>
                <w:sz w:val="20"/>
              </w:rPr>
            </w:r>
            <w:r>
              <w:rPr>
                <w:rFonts w:ascii="Arial" w:hAnsi="Arial" w:eastAsia="Arial" w:cs="Arial"/>
                <w:color w:val="000000"/>
                <w:sz w:val="20"/>
              </w:rPr>
              <w:t>$10,857</w:t>
            </w:r>
          </w:p>
        </w:tc>
        <w:tc>
          <w:tcPr>
            <w:tcW w:type="dxa" w:w="3120"/>
          </w:tcPr>
          <w:p>
            <w:pPr>
              <w:spacing w:line="240" w:lineRule="auto" w:before="40" w:after="40"/>
            </w:pPr>
            <w:r>
              <w:rPr>
                <w:color w:val="000000"/>
                <w:sz w:val="20"/>
              </w:rPr>
            </w:r>
            <w:r>
              <w:rPr>
                <w:rFonts w:ascii="Arial" w:hAnsi="Arial" w:eastAsia="Arial" w:cs="Arial"/>
                <w:color w:val="000000"/>
                <w:sz w:val="20"/>
              </w:rPr>
              <w:t>$10,114</w:t>
            </w:r>
          </w:p>
        </w:tc>
      </w:tr>
    </w:tbl>
    <w:p>
      <w:pPr/>
    </w:p>
    <w:p>
      <w:pPr/>
      <w:r>
        <w:rPr>
          <w:rFonts w:ascii="Arial" w:hAnsi="Arial" w:eastAsia="Arial" w:cs="Arial"/>
        </w:rPr>
        <w:t>[VERIFY: same tax parameters as section 4; script-checked]</w:t>
      </w:r>
    </w:p>
    <w:p>
      <w:pPr/>
    </w:p>
    <w:p>
      <w:pPr/>
      <w:r>
        <w:rPr>
          <w:rFonts w:ascii="Arial" w:hAnsi="Arial" w:eastAsia="Arial" w:cs="Arial"/>
        </w:rPr>
        <w:t xml:space="preserve">Read the two cash lines together. Putting $12,000 into the 401(k) and $1,500 into health insurance reduced the checking account by $8,918, not $13,500, because the deductions cut the tax bill by $4,582. </w:t>
      </w:r>
      <w:r>
        <w:rPr>
          <w:rFonts w:ascii="Arial" w:hAnsi="Arial" w:eastAsia="Arial" w:cs="Arial"/>
          <w:b/>
        </w:rPr>
        <w:t>Every $1,000 you defer into a 401(k) at this income costs about $662 of take-home, because the other $338 would have gone to federal, state and city income tax.</w:t>
      </w:r>
      <w:r>
        <w:rPr>
          <w:rFonts w:ascii="Arial" w:hAnsi="Arial" w:eastAsia="Arial" w:cs="Arial"/>
        </w:rPr>
        <w:t xml:space="preserve"> If your bank matches, the math gets better still, and a match you don't claim is pay you're leaving on the table [VERIFY: 401(k) match terms at your bank].</w:t>
      </w:r>
    </w:p>
    <w:p>
      <w:pPr/>
    </w:p>
    <w:p>
      <w:pPr/>
      <w:r>
        <w:rPr>
          <w:rFonts w:ascii="Arial" w:hAnsi="Arial" w:eastAsia="Arial" w:cs="Arial"/>
        </w:rPr>
        <w:t>Social Security didn't move in the table because this analyst is above the wage base either way. For a first-year at $155,000, the health premium would also shave a little Social Security, and the 401(k) still wouldn't, because Congress made retirement deferrals exempt from income tax but not from payroll tax.</w:t>
      </w:r>
    </w:p>
    <w:p>
      <w:pPr/>
    </w:p>
    <w:p>
      <w:pPr/>
      <w:r>
        <w:rPr>
          <w:rFonts w:ascii="Arial" w:hAnsi="Arial" w:eastAsia="Arial" w:cs="Arial"/>
        </w:rPr>
        <w:t>This is also the year to open the 401(k) regardless of the match, for a reason that has nothing to do with tax. The first-year analyst who defers 6 percent from the first paycheck never sees that money in checking and never builds a lifestyle around it. The one who plans to "start next year" is choosing between the 401(k) and an apartment upgrade by then.</w:t>
      </w:r>
    </w:p>
    <w:p>
      <w:pPr/>
    </w:p>
    <w:p>
      <w:pPr>
        <w:pStyle w:val="Heading2"/>
      </w:pPr>
      <w:r>
        <w:rPr>
          <w:rFonts w:ascii="Arial" w:hAnsi="Arial" w:eastAsia="Arial" w:cs="Arial"/>
        </w:rPr>
        <w:t>6. Your bonus check will look small, and most of that is withholding, not tax</w:t>
      </w:r>
    </w:p>
    <w:p>
      <w:pPr/>
      <w:r>
        <w:rPr>
          <w:rFonts w:ascii="Arial" w:hAnsi="Arial" w:eastAsia="Arial" w:cs="Arial"/>
        </w:rPr>
        <w:t>A student I worked with through WSG, call him R, signed with an elite boutique and texted me a screenshot of his first full bonus pay stub asking whether payroll had made a mistake. $80,000 on the top line. $43,520 deposited. No mistake. That's what supplemental withholding looks like in New York, and it's worth knowing before your own stub arrives.</w:t>
      </w:r>
    </w:p>
    <w:p>
      <w:pPr/>
    </w:p>
    <w:p>
      <w:pPr/>
      <w:r>
        <w:rPr>
          <w:rFonts w:ascii="Arial" w:hAnsi="Arial" w:eastAsia="Arial" w:cs="Arial"/>
        </w:rPr>
        <w:t xml:space="preserve">Payroll treats a bonus as "supplemental wages" and withholds at flat rates instead of using the tables it uses for your base. The federal flat rate is 22 percent on supplemental wages up to $1 million in a year [VERIFY: IRS Publication 15 (2026), section 7]. New York State's supplemental rate is 11.70 percent and New York City's is 4.25 percent, rates built for the highest earners and far above the 5.9 and 3.876 percent a first-year actually owes [VERIFY: NYS-50-T-NYS and NYS-50-T-NYC (1/26), supplemental wage withholding rates]. Social Security and Medicare come out at their normal rates. </w:t>
      </w:r>
      <w:r>
        <w:rPr>
          <w:rFonts w:ascii="Arial" w:hAnsi="Arial" w:eastAsia="Arial" w:cs="Arial"/>
          <w:b/>
        </w:rPr>
        <w:t>Stack the five flat rates and payroll withholds 45.6 percent of a New York bonus check, even though the bonus's real tax cost for a first-year is about 41 percent.</w:t>
      </w:r>
    </w:p>
    <w:p>
      <w:pPr/>
    </w:p>
    <w:p>
      <w:pPr/>
      <w:r>
        <w:rPr>
          <w:rFonts w:ascii="Arial" w:hAnsi="Arial" w:eastAsia="Arial" w:cs="Arial"/>
        </w:rPr>
        <w:t>The real tax the bonus adds to your year is lower. The way to see it is to compute the whole year's tax with and without the bonus and take the difference.</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Item</w:t>
            </w:r>
          </w:p>
        </w:tc>
        <w:tc>
          <w:tcPr>
            <w:tcW w:type="dxa" w:w="3120"/>
          </w:tcPr>
          <w:p>
            <w:pPr>
              <w:spacing w:line="240" w:lineRule="auto" w:before="40" w:after="40"/>
            </w:pPr>
            <w:r>
              <w:rPr>
                <w:color w:val="000000"/>
                <w:sz w:val="20"/>
              </w:rPr>
            </w:r>
            <w:r>
              <w:rPr>
                <w:rFonts w:ascii="Arial" w:hAnsi="Arial" w:eastAsia="Arial" w:cs="Arial"/>
                <w:b/>
                <w:color w:val="000000"/>
                <w:sz w:val="20"/>
              </w:rPr>
              <w:t>Withheld from the check</w:t>
            </w:r>
          </w:p>
        </w:tc>
        <w:tc>
          <w:tcPr>
            <w:tcW w:type="dxa" w:w="3120"/>
          </w:tcPr>
          <w:p>
            <w:pPr>
              <w:spacing w:line="240" w:lineRule="auto" w:before="40" w:after="40"/>
            </w:pPr>
            <w:r>
              <w:rPr>
                <w:color w:val="000000"/>
                <w:sz w:val="20"/>
              </w:rPr>
            </w:r>
            <w:r>
              <w:rPr>
                <w:rFonts w:ascii="Arial" w:hAnsi="Arial" w:eastAsia="Arial" w:cs="Arial"/>
                <w:b/>
                <w:color w:val="000000"/>
                <w:sz w:val="20"/>
              </w:rPr>
              <w:t>Actual tax the bonus adds</w:t>
            </w:r>
          </w:p>
        </w:tc>
      </w:tr>
      <w:tr>
        <w:tc>
          <w:tcPr>
            <w:tcW w:type="dxa" w:w="3120"/>
          </w:tcPr>
          <w:p>
            <w:pPr>
              <w:spacing w:line="240" w:lineRule="auto" w:before="40" w:after="40"/>
            </w:pPr>
            <w:r>
              <w:rPr>
                <w:color w:val="000000"/>
                <w:sz w:val="20"/>
              </w:rPr>
            </w:r>
            <w:r>
              <w:rPr>
                <w:rFonts w:ascii="Arial" w:hAnsi="Arial" w:eastAsia="Arial" w:cs="Arial"/>
                <w:color w:val="000000"/>
                <w:sz w:val="20"/>
              </w:rPr>
              <w:t>Federal income tax</w:t>
            </w:r>
          </w:p>
        </w:tc>
        <w:tc>
          <w:tcPr>
            <w:tcW w:type="dxa" w:w="3120"/>
          </w:tcPr>
          <w:p>
            <w:pPr>
              <w:spacing w:line="240" w:lineRule="auto" w:before="40" w:after="40"/>
            </w:pPr>
            <w:r>
              <w:rPr>
                <w:color w:val="000000"/>
                <w:sz w:val="20"/>
              </w:rPr>
            </w:r>
            <w:r>
              <w:rPr>
                <w:rFonts w:ascii="Arial" w:hAnsi="Arial" w:eastAsia="Arial" w:cs="Arial"/>
                <w:color w:val="000000"/>
                <w:sz w:val="20"/>
              </w:rPr>
              <w:t>22.0% = $17,600</w:t>
            </w:r>
          </w:p>
        </w:tc>
        <w:tc>
          <w:tcPr>
            <w:tcW w:type="dxa" w:w="3120"/>
          </w:tcPr>
          <w:p>
            <w:pPr>
              <w:spacing w:line="240" w:lineRule="auto" w:before="40" w:after="40"/>
            </w:pPr>
            <w:r>
              <w:rPr>
                <w:color w:val="000000"/>
                <w:sz w:val="20"/>
              </w:rPr>
            </w:r>
            <w:r>
              <w:rPr>
                <w:rFonts w:ascii="Arial" w:hAnsi="Arial" w:eastAsia="Arial" w:cs="Arial"/>
                <w:color w:val="000000"/>
                <w:sz w:val="20"/>
              </w:rPr>
              <w:t>$19,164</w:t>
            </w:r>
          </w:p>
        </w:tc>
      </w:tr>
      <w:tr>
        <w:tc>
          <w:tcPr>
            <w:tcW w:type="dxa" w:w="3120"/>
          </w:tcPr>
          <w:p>
            <w:pPr>
              <w:spacing w:line="240" w:lineRule="auto" w:before="40" w:after="40"/>
            </w:pPr>
            <w:r>
              <w:rPr>
                <w:color w:val="000000"/>
                <w:sz w:val="20"/>
              </w:rPr>
            </w:r>
            <w:r>
              <w:rPr>
                <w:rFonts w:ascii="Arial" w:hAnsi="Arial" w:eastAsia="Arial" w:cs="Arial"/>
                <w:color w:val="000000"/>
                <w:sz w:val="20"/>
              </w:rPr>
              <w:t>Social Security</w:t>
            </w:r>
          </w:p>
        </w:tc>
        <w:tc>
          <w:tcPr>
            <w:tcW w:type="dxa" w:w="3120"/>
          </w:tcPr>
          <w:p>
            <w:pPr>
              <w:spacing w:line="240" w:lineRule="auto" w:before="40" w:after="40"/>
            </w:pPr>
            <w:r>
              <w:rPr>
                <w:color w:val="000000"/>
                <w:sz w:val="20"/>
              </w:rPr>
            </w:r>
            <w:r>
              <w:rPr>
                <w:rFonts w:ascii="Arial" w:hAnsi="Arial" w:eastAsia="Arial" w:cs="Arial"/>
                <w:color w:val="000000"/>
                <w:sz w:val="20"/>
              </w:rPr>
              <w:t>6.2% = $4,960</w:t>
            </w:r>
          </w:p>
        </w:tc>
        <w:tc>
          <w:tcPr>
            <w:tcW w:type="dxa" w:w="3120"/>
          </w:tcPr>
          <w:p>
            <w:pPr>
              <w:spacing w:line="240" w:lineRule="auto" w:before="40" w:after="40"/>
            </w:pPr>
            <w:r>
              <w:rPr>
                <w:color w:val="000000"/>
                <w:sz w:val="20"/>
              </w:rPr>
            </w:r>
            <w:r>
              <w:rPr>
                <w:rFonts w:ascii="Arial" w:hAnsi="Arial" w:eastAsia="Arial" w:cs="Arial"/>
                <w:color w:val="000000"/>
                <w:sz w:val="20"/>
              </w:rPr>
              <w:t>$3,999</w:t>
            </w:r>
          </w:p>
        </w:tc>
      </w:tr>
      <w:tr>
        <w:tc>
          <w:tcPr>
            <w:tcW w:type="dxa" w:w="3120"/>
          </w:tcPr>
          <w:p>
            <w:pPr>
              <w:spacing w:line="240" w:lineRule="auto" w:before="40" w:after="40"/>
            </w:pPr>
            <w:r>
              <w:rPr>
                <w:color w:val="000000"/>
                <w:sz w:val="20"/>
              </w:rPr>
            </w:r>
            <w:r>
              <w:rPr>
                <w:rFonts w:ascii="Arial" w:hAnsi="Arial" w:eastAsia="Arial" w:cs="Arial"/>
                <w:color w:val="000000"/>
                <w:sz w:val="20"/>
              </w:rPr>
              <w:t>Medicare</w:t>
            </w:r>
          </w:p>
        </w:tc>
        <w:tc>
          <w:tcPr>
            <w:tcW w:type="dxa" w:w="3120"/>
          </w:tcPr>
          <w:p>
            <w:pPr>
              <w:spacing w:line="240" w:lineRule="auto" w:before="40" w:after="40"/>
            </w:pPr>
            <w:r>
              <w:rPr>
                <w:color w:val="000000"/>
                <w:sz w:val="20"/>
              </w:rPr>
            </w:r>
            <w:r>
              <w:rPr>
                <w:rFonts w:ascii="Arial" w:hAnsi="Arial" w:eastAsia="Arial" w:cs="Arial"/>
                <w:color w:val="000000"/>
                <w:sz w:val="20"/>
              </w:rPr>
              <w:t>1.45% = $1,160</w:t>
            </w:r>
          </w:p>
        </w:tc>
        <w:tc>
          <w:tcPr>
            <w:tcW w:type="dxa" w:w="3120"/>
          </w:tcPr>
          <w:p>
            <w:pPr>
              <w:spacing w:line="240" w:lineRule="auto" w:before="40" w:after="40"/>
            </w:pPr>
            <w:r>
              <w:rPr>
                <w:color w:val="000000"/>
                <w:sz w:val="20"/>
              </w:rPr>
            </w:r>
            <w:r>
              <w:rPr>
                <w:rFonts w:ascii="Arial" w:hAnsi="Arial" w:eastAsia="Arial" w:cs="Arial"/>
                <w:color w:val="000000"/>
                <w:sz w:val="20"/>
              </w:rPr>
              <w:t>$1,160</w:t>
            </w:r>
          </w:p>
        </w:tc>
      </w:tr>
      <w:tr>
        <w:tc>
          <w:tcPr>
            <w:tcW w:type="dxa" w:w="3120"/>
          </w:tcPr>
          <w:p>
            <w:pPr>
              <w:spacing w:line="240" w:lineRule="auto" w:before="40" w:after="40"/>
            </w:pPr>
            <w:r>
              <w:rPr>
                <w:color w:val="000000"/>
                <w:sz w:val="20"/>
              </w:rPr>
            </w:r>
            <w:r>
              <w:rPr>
                <w:rFonts w:ascii="Arial" w:hAnsi="Arial" w:eastAsia="Arial" w:cs="Arial"/>
                <w:color w:val="000000"/>
                <w:sz w:val="20"/>
              </w:rPr>
              <w:t>New York State</w:t>
            </w:r>
          </w:p>
        </w:tc>
        <w:tc>
          <w:tcPr>
            <w:tcW w:type="dxa" w:w="3120"/>
          </w:tcPr>
          <w:p>
            <w:pPr>
              <w:spacing w:line="240" w:lineRule="auto" w:before="40" w:after="40"/>
            </w:pPr>
            <w:r>
              <w:rPr>
                <w:color w:val="000000"/>
                <w:sz w:val="20"/>
              </w:rPr>
            </w:r>
            <w:r>
              <w:rPr>
                <w:rFonts w:ascii="Arial" w:hAnsi="Arial" w:eastAsia="Arial" w:cs="Arial"/>
                <w:color w:val="000000"/>
                <w:sz w:val="20"/>
              </w:rPr>
              <w:t>11.70% = $9,360</w:t>
            </w:r>
          </w:p>
        </w:tc>
        <w:tc>
          <w:tcPr>
            <w:tcW w:type="dxa" w:w="3120"/>
          </w:tcPr>
          <w:p>
            <w:pPr>
              <w:spacing w:line="240" w:lineRule="auto" w:before="40" w:after="40"/>
            </w:pPr>
            <w:r>
              <w:rPr>
                <w:color w:val="000000"/>
                <w:sz w:val="20"/>
              </w:rPr>
            </w:r>
            <w:r>
              <w:rPr>
                <w:rFonts w:ascii="Arial" w:hAnsi="Arial" w:eastAsia="Arial" w:cs="Arial"/>
                <w:color w:val="000000"/>
                <w:sz w:val="20"/>
              </w:rPr>
              <w:t>$5,148</w:t>
            </w:r>
          </w:p>
        </w:tc>
      </w:tr>
      <w:tr>
        <w:tc>
          <w:tcPr>
            <w:tcW w:type="dxa" w:w="3120"/>
          </w:tcPr>
          <w:p>
            <w:pPr>
              <w:spacing w:line="240" w:lineRule="auto" w:before="40" w:after="40"/>
            </w:pPr>
            <w:r>
              <w:rPr>
                <w:color w:val="000000"/>
                <w:sz w:val="20"/>
              </w:rPr>
            </w:r>
            <w:r>
              <w:rPr>
                <w:rFonts w:ascii="Arial" w:hAnsi="Arial" w:eastAsia="Arial" w:cs="Arial"/>
                <w:color w:val="000000"/>
                <w:sz w:val="20"/>
              </w:rPr>
              <w:t>New York City</w:t>
            </w:r>
          </w:p>
        </w:tc>
        <w:tc>
          <w:tcPr>
            <w:tcW w:type="dxa" w:w="3120"/>
          </w:tcPr>
          <w:p>
            <w:pPr>
              <w:spacing w:line="240" w:lineRule="auto" w:before="40" w:after="40"/>
            </w:pPr>
            <w:r>
              <w:rPr>
                <w:color w:val="000000"/>
                <w:sz w:val="20"/>
              </w:rPr>
            </w:r>
            <w:r>
              <w:rPr>
                <w:rFonts w:ascii="Arial" w:hAnsi="Arial" w:eastAsia="Arial" w:cs="Arial"/>
                <w:color w:val="000000"/>
                <w:sz w:val="20"/>
              </w:rPr>
              <w:t>4.25% = $3,400</w:t>
            </w:r>
          </w:p>
        </w:tc>
        <w:tc>
          <w:tcPr>
            <w:tcW w:type="dxa" w:w="3120"/>
          </w:tcPr>
          <w:p>
            <w:pPr>
              <w:spacing w:line="240" w:lineRule="auto" w:before="40" w:after="40"/>
            </w:pPr>
            <w:r>
              <w:rPr>
                <w:color w:val="000000"/>
                <w:sz w:val="20"/>
              </w:rPr>
            </w:r>
            <w:r>
              <w:rPr>
                <w:rFonts w:ascii="Arial" w:hAnsi="Arial" w:eastAsia="Arial" w:cs="Arial"/>
                <w:color w:val="000000"/>
                <w:sz w:val="20"/>
              </w:rPr>
              <w:t>$3,101</w:t>
            </w:r>
          </w:p>
        </w:tc>
      </w:tr>
      <w:tr>
        <w:tc>
          <w:tcPr>
            <w:tcW w:type="dxa" w:w="3120"/>
          </w:tcPr>
          <w:p>
            <w:pPr>
              <w:spacing w:line="240" w:lineRule="auto" w:before="40" w:after="40"/>
            </w:pPr>
            <w:r>
              <w:rPr>
                <w:color w:val="000000"/>
                <w:sz w:val="20"/>
              </w:rPr>
            </w:r>
            <w:r>
              <w:rPr>
                <w:rFonts w:ascii="Arial" w:hAnsi="Arial" w:eastAsia="Arial" w:cs="Arial"/>
                <w:color w:val="000000"/>
                <w:sz w:val="20"/>
              </w:rPr>
              <w:t>Total</w:t>
            </w:r>
          </w:p>
        </w:tc>
        <w:tc>
          <w:tcPr>
            <w:tcW w:type="dxa" w:w="3120"/>
          </w:tcPr>
          <w:p>
            <w:pPr>
              <w:spacing w:line="240" w:lineRule="auto" w:before="40" w:after="40"/>
            </w:pPr>
            <w:r>
              <w:rPr>
                <w:color w:val="000000"/>
                <w:sz w:val="20"/>
              </w:rPr>
            </w:r>
            <w:r>
              <w:rPr>
                <w:rFonts w:ascii="Arial" w:hAnsi="Arial" w:eastAsia="Arial" w:cs="Arial"/>
                <w:color w:val="000000"/>
                <w:sz w:val="20"/>
              </w:rPr>
              <w:t>45.6% = $36,480</w:t>
            </w:r>
          </w:p>
        </w:tc>
        <w:tc>
          <w:tcPr>
            <w:tcW w:type="dxa" w:w="3120"/>
          </w:tcPr>
          <w:p>
            <w:pPr>
              <w:spacing w:line="240" w:lineRule="auto" w:before="40" w:after="40"/>
            </w:pPr>
            <w:r>
              <w:rPr>
                <w:color w:val="000000"/>
                <w:sz w:val="20"/>
              </w:rPr>
            </w:r>
            <w:r>
              <w:rPr>
                <w:rFonts w:ascii="Arial" w:hAnsi="Arial" w:eastAsia="Arial" w:cs="Arial"/>
                <w:color w:val="000000"/>
                <w:sz w:val="20"/>
              </w:rPr>
              <w:t>40.7% = $32,572</w:t>
            </w:r>
          </w:p>
        </w:tc>
      </w:tr>
      <w:tr>
        <w:tc>
          <w:tcPr>
            <w:tcW w:type="dxa" w:w="3120"/>
          </w:tcPr>
          <w:p>
            <w:pPr>
              <w:spacing w:line="240" w:lineRule="auto" w:before="40" w:after="40"/>
            </w:pPr>
            <w:r>
              <w:rPr>
                <w:color w:val="000000"/>
                <w:sz w:val="20"/>
              </w:rPr>
            </w:r>
            <w:r>
              <w:rPr>
                <w:rFonts w:ascii="Arial" w:hAnsi="Arial" w:eastAsia="Arial" w:cs="Arial"/>
                <w:color w:val="000000"/>
                <w:sz w:val="20"/>
              </w:rPr>
              <w:t>Bonus you keep</w:t>
            </w:r>
          </w:p>
        </w:tc>
        <w:tc>
          <w:tcPr>
            <w:tcW w:type="dxa" w:w="3120"/>
          </w:tcPr>
          <w:p>
            <w:pPr>
              <w:spacing w:line="240" w:lineRule="auto" w:before="40" w:after="40"/>
            </w:pPr>
            <w:r>
              <w:rPr>
                <w:color w:val="000000"/>
                <w:sz w:val="20"/>
              </w:rPr>
            </w:r>
            <w:r>
              <w:rPr>
                <w:rFonts w:ascii="Arial" w:hAnsi="Arial" w:eastAsia="Arial" w:cs="Arial"/>
                <w:color w:val="000000"/>
                <w:sz w:val="20"/>
              </w:rPr>
              <w:t>$43,520</w:t>
            </w:r>
          </w:p>
        </w:tc>
        <w:tc>
          <w:tcPr>
            <w:tcW w:type="dxa" w:w="3120"/>
          </w:tcPr>
          <w:p>
            <w:pPr>
              <w:spacing w:line="240" w:lineRule="auto" w:before="40" w:after="40"/>
            </w:pPr>
            <w:r>
              <w:rPr>
                <w:color w:val="000000"/>
                <w:sz w:val="20"/>
              </w:rPr>
            </w:r>
            <w:r>
              <w:rPr>
                <w:rFonts w:ascii="Arial" w:hAnsi="Arial" w:eastAsia="Arial" w:cs="Arial"/>
                <w:color w:val="000000"/>
                <w:sz w:val="20"/>
              </w:rPr>
              <w:t>$47,428</w:t>
            </w:r>
          </w:p>
        </w:tc>
      </w:tr>
    </w:tbl>
    <w:p>
      <w:pPr/>
    </w:p>
    <w:p>
      <w:pPr>
        <w:spacing w:line="240" w:lineRule="auto"/>
        <w:jc w:val="center"/>
      </w:pPr>
      <w:r>
        <w:drawing>
          <wp:inline xmlns:a="http://schemas.openxmlformats.org/drawingml/2006/main" xmlns:pic="http://schemas.openxmlformats.org/drawingml/2006/picture">
            <wp:extent cx="5943600" cy="3747735"/>
            <wp:docPr id="5" name="Picture 5"/>
            <wp:cNvGraphicFramePr>
              <a:graphicFrameLocks noChangeAspect="1"/>
            </wp:cNvGraphicFramePr>
            <a:graphic>
              <a:graphicData uri="http://schemas.openxmlformats.org/drawingml/2006/picture">
                <pic:pic>
                  <pic:nvPicPr>
                    <pic:cNvPr id="0" name="06-bonus-withheld-vs-actual-tax.png"/>
                    <pic:cNvPicPr/>
                  </pic:nvPicPr>
                  <pic:blipFill>
                    <a:blip r:embed="rId15"/>
                    <a:stretch>
                      <a:fillRect/>
                    </a:stretch>
                  </pic:blipFill>
                  <pic:spPr>
                    <a:xfrm>
                      <a:off x="0" y="0"/>
                      <a:ext cx="5943600" cy="3747735"/>
                    </a:xfrm>
                    <a:prstGeom prst="rect"/>
                  </pic:spPr>
                </pic:pic>
              </a:graphicData>
            </a:graphic>
          </wp:inline>
        </w:drawing>
      </w:r>
    </w:p>
    <w:p>
      <w:pPr>
        <w:jc w:val="center"/>
      </w:pPr>
      <w:r>
        <w:rPr>
          <w:rFonts w:ascii="Arial" w:hAnsi="Arial" w:eastAsia="Arial" w:cs="Arial"/>
          <w:i/>
          <w:sz w:val="20"/>
        </w:rPr>
        <w:t>Federal is under-withheld because 22 percent is less than the 24 percent bracket, New York State is over-withheld by almost half, and the net $3,908 comes back as a refund.</w:t>
      </w:r>
    </w:p>
    <w:p>
      <w:pPr/>
    </w:p>
    <w:p>
      <w:pPr/>
      <w:r>
        <w:rPr>
          <w:rFonts w:ascii="Arial" w:hAnsi="Arial" w:eastAsia="Arial" w:cs="Arial"/>
        </w:rPr>
        <w:t>[VERIFY: withholding rates as above; the "actual" column is the difference between the full-year tax with and without the $80,000 bonus on 2026 rules, script-checked]</w:t>
      </w:r>
    </w:p>
    <w:p>
      <w:pPr/>
    </w:p>
    <w:p>
      <w:pPr/>
      <w:r>
        <w:rPr>
          <w:rFonts w:ascii="Arial" w:hAnsi="Arial" w:eastAsia="Arial" w:cs="Arial"/>
        </w:rPr>
        <w:t>Two things stand out. The federal line is under-withheld, because 22 percent is less than the 24 percent bracket most of the bonus falls into. New York over-withholds by almost half, because 11.70 percent is nearly double the 5.9 percent you owe. Net, payroll took $3,908 more than the bonus actually cost, and you get that back as a refund when you file, or sooner by adjusting your W-4, the form that tells payroll how much to withhold from your regular paychecks. The Social Security line is lower in the actual column for the reason in section 4: base plus bonus crosses the $184,500 wage base, so the last $15,500 of the year's wages owes no Social Security at all.</w:t>
      </w:r>
    </w:p>
    <w:p>
      <w:pPr/>
    </w:p>
    <w:p>
      <w:pPr/>
      <w:r>
        <w:rPr>
          <w:rFonts w:ascii="Arial" w:hAnsi="Arial" w:eastAsia="Arial" w:cs="Arial"/>
          <w:b/>
        </w:rPr>
        <w:t>Withholding is an estimate payroll makes on each check; your tax is calculated once, on the whole year, when you file. A bonus check that looks 45 percent lighter is not a 45 percent tax.</w:t>
      </w:r>
      <w:r>
        <w:rPr>
          <w:rFonts w:ascii="Arial" w:hAnsi="Arial" w:eastAsia="Arial" w:cs="Arial"/>
        </w:rPr>
        <w:t xml:space="preserve"> R got about $3,900 back the following April [VERIFY: composite; swap in a real WSG student story if one exists].</w:t>
      </w:r>
    </w:p>
    <w:p>
      <w:pPr/>
    </w:p>
    <w:p>
      <w:pPr/>
      <w:r>
        <w:rPr>
          <w:rFonts w:ascii="Arial" w:hAnsi="Arial" w:eastAsia="Arial" w:cs="Arial"/>
        </w:rPr>
        <w:t>The practical move: don't plan around the bonus's gross number, and don't plan around the stub's net number either. Plan around the actual column. For an $80,000 bonus in New York, that's about $47,400 you'll actually keep, part on bonus day and part the next spring.</w:t>
      </w:r>
    </w:p>
    <w:p>
      <w:pPr/>
    </w:p>
    <w:p>
      <w:pPr>
        <w:pStyle w:val="Heading2"/>
      </w:pPr>
      <w:r>
        <w:rPr>
          <w:rFonts w:ascii="Arial" w:hAnsi="Arial" w:eastAsia="Arial" w:cs="Arial"/>
        </w:rPr>
        <w:t>7. The same $200,000 is worth $18,645 more in Houston than in New York</w:t>
      </w:r>
    </w:p>
    <w:p>
      <w:pPr/>
      <w:r>
        <w:rPr>
          <w:rFonts w:ascii="Arial" w:hAnsi="Arial" w:eastAsia="Arial" w:cs="Arial"/>
        </w:rPr>
        <w:t>Every bank with a New York office also has analysts in Charlotte, Houston, San Francisco, Chicago and Los Angeles, and most of them pay the same base in every US city. The tax bill is not the same. Here's the identical analyst, $120,000 base and $80,000 bonus, single, no deductions, in four cities.</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Line</w:t>
            </w:r>
          </w:p>
        </w:tc>
        <w:tc>
          <w:tcPr>
            <w:tcW w:type="dxa" w:w="1872"/>
          </w:tcPr>
          <w:p>
            <w:pPr>
              <w:spacing w:line="240" w:lineRule="auto" w:before="40" w:after="40"/>
            </w:pPr>
            <w:r>
              <w:rPr>
                <w:color w:val="000000"/>
                <w:sz w:val="20"/>
              </w:rPr>
            </w:r>
            <w:r>
              <w:rPr>
                <w:rFonts w:ascii="Arial" w:hAnsi="Arial" w:eastAsia="Arial" w:cs="Arial"/>
                <w:b/>
                <w:color w:val="000000"/>
                <w:sz w:val="20"/>
              </w:rPr>
              <w:t>New York</w:t>
            </w:r>
          </w:p>
        </w:tc>
        <w:tc>
          <w:tcPr>
            <w:tcW w:type="dxa" w:w="1872"/>
          </w:tcPr>
          <w:p>
            <w:pPr>
              <w:spacing w:line="240" w:lineRule="auto" w:before="40" w:after="40"/>
            </w:pPr>
            <w:r>
              <w:rPr>
                <w:color w:val="000000"/>
                <w:sz w:val="20"/>
              </w:rPr>
            </w:r>
            <w:r>
              <w:rPr>
                <w:rFonts w:ascii="Arial" w:hAnsi="Arial" w:eastAsia="Arial" w:cs="Arial"/>
                <w:b/>
                <w:color w:val="000000"/>
                <w:sz w:val="20"/>
              </w:rPr>
              <w:t>Charlotte</w:t>
            </w:r>
          </w:p>
        </w:tc>
        <w:tc>
          <w:tcPr>
            <w:tcW w:type="dxa" w:w="1872"/>
          </w:tcPr>
          <w:p>
            <w:pPr>
              <w:spacing w:line="240" w:lineRule="auto" w:before="40" w:after="40"/>
            </w:pPr>
            <w:r>
              <w:rPr>
                <w:color w:val="000000"/>
                <w:sz w:val="20"/>
              </w:rPr>
            </w:r>
            <w:r>
              <w:rPr>
                <w:rFonts w:ascii="Arial" w:hAnsi="Arial" w:eastAsia="Arial" w:cs="Arial"/>
                <w:b/>
                <w:color w:val="000000"/>
                <w:sz w:val="20"/>
              </w:rPr>
              <w:t>Houston</w:t>
            </w:r>
          </w:p>
        </w:tc>
        <w:tc>
          <w:tcPr>
            <w:tcW w:type="dxa" w:w="1872"/>
          </w:tcPr>
          <w:p>
            <w:pPr>
              <w:spacing w:line="240" w:lineRule="auto" w:before="40" w:after="40"/>
            </w:pPr>
            <w:r>
              <w:rPr>
                <w:color w:val="000000"/>
                <w:sz w:val="20"/>
              </w:rPr>
            </w:r>
            <w:r>
              <w:rPr>
                <w:rFonts w:ascii="Arial" w:hAnsi="Arial" w:eastAsia="Arial" w:cs="Arial"/>
                <w:b/>
                <w:color w:val="000000"/>
                <w:sz w:val="20"/>
              </w:rPr>
              <w:t>San Francisco</w:t>
            </w:r>
          </w:p>
        </w:tc>
      </w:tr>
      <w:tr>
        <w:tc>
          <w:tcPr>
            <w:tcW w:type="dxa" w:w="1872"/>
          </w:tcPr>
          <w:p>
            <w:pPr>
              <w:spacing w:line="240" w:lineRule="auto" w:before="40" w:after="40"/>
            </w:pPr>
            <w:r>
              <w:rPr>
                <w:color w:val="000000"/>
                <w:sz w:val="20"/>
              </w:rPr>
            </w:r>
            <w:r>
              <w:rPr>
                <w:rFonts w:ascii="Arial" w:hAnsi="Arial" w:eastAsia="Arial" w:cs="Arial"/>
                <w:color w:val="000000"/>
                <w:sz w:val="20"/>
              </w:rPr>
              <w:t>Federal income tax</w:t>
            </w:r>
          </w:p>
        </w:tc>
        <w:tc>
          <w:tcPr>
            <w:tcW w:type="dxa" w:w="1872"/>
          </w:tcPr>
          <w:p>
            <w:pPr>
              <w:spacing w:line="240" w:lineRule="auto" w:before="40" w:after="40"/>
            </w:pPr>
            <w:r>
              <w:rPr>
                <w:color w:val="000000"/>
                <w:sz w:val="20"/>
              </w:rPr>
            </w:r>
            <w:r>
              <w:rPr>
                <w:rFonts w:ascii="Arial" w:hAnsi="Arial" w:eastAsia="Arial" w:cs="Arial"/>
                <w:color w:val="000000"/>
                <w:sz w:val="20"/>
              </w:rPr>
              <w:t>$36,734</w:t>
            </w:r>
          </w:p>
        </w:tc>
        <w:tc>
          <w:tcPr>
            <w:tcW w:type="dxa" w:w="1872"/>
          </w:tcPr>
          <w:p>
            <w:pPr>
              <w:spacing w:line="240" w:lineRule="auto" w:before="40" w:after="40"/>
            </w:pPr>
            <w:r>
              <w:rPr>
                <w:color w:val="000000"/>
                <w:sz w:val="20"/>
              </w:rPr>
            </w:r>
            <w:r>
              <w:rPr>
                <w:rFonts w:ascii="Arial" w:hAnsi="Arial" w:eastAsia="Arial" w:cs="Arial"/>
                <w:color w:val="000000"/>
                <w:sz w:val="20"/>
              </w:rPr>
              <w:t>$36,734</w:t>
            </w:r>
          </w:p>
        </w:tc>
        <w:tc>
          <w:tcPr>
            <w:tcW w:type="dxa" w:w="1872"/>
          </w:tcPr>
          <w:p>
            <w:pPr>
              <w:spacing w:line="240" w:lineRule="auto" w:before="40" w:after="40"/>
            </w:pPr>
            <w:r>
              <w:rPr>
                <w:color w:val="000000"/>
                <w:sz w:val="20"/>
              </w:rPr>
            </w:r>
            <w:r>
              <w:rPr>
                <w:rFonts w:ascii="Arial" w:hAnsi="Arial" w:eastAsia="Arial" w:cs="Arial"/>
                <w:color w:val="000000"/>
                <w:sz w:val="20"/>
              </w:rPr>
              <w:t>$36,734</w:t>
            </w:r>
          </w:p>
        </w:tc>
        <w:tc>
          <w:tcPr>
            <w:tcW w:type="dxa" w:w="1872"/>
          </w:tcPr>
          <w:p>
            <w:pPr>
              <w:spacing w:line="240" w:lineRule="auto" w:before="40" w:after="40"/>
            </w:pPr>
            <w:r>
              <w:rPr>
                <w:color w:val="000000"/>
                <w:sz w:val="20"/>
              </w:rPr>
            </w:r>
            <w:r>
              <w:rPr>
                <w:rFonts w:ascii="Arial" w:hAnsi="Arial" w:eastAsia="Arial" w:cs="Arial"/>
                <w:color w:val="000000"/>
                <w:sz w:val="20"/>
              </w:rPr>
              <w:t>$36,734</w:t>
            </w:r>
          </w:p>
        </w:tc>
      </w:tr>
      <w:tr>
        <w:tc>
          <w:tcPr>
            <w:tcW w:type="dxa" w:w="1872"/>
          </w:tcPr>
          <w:p>
            <w:pPr>
              <w:spacing w:line="240" w:lineRule="auto" w:before="40" w:after="40"/>
            </w:pPr>
            <w:r>
              <w:rPr>
                <w:color w:val="000000"/>
                <w:sz w:val="20"/>
              </w:rPr>
            </w:r>
            <w:r>
              <w:rPr>
                <w:rFonts w:ascii="Arial" w:hAnsi="Arial" w:eastAsia="Arial" w:cs="Arial"/>
                <w:color w:val="000000"/>
                <w:sz w:val="20"/>
              </w:rPr>
              <w:t>Social Security + Medicare</w:t>
            </w:r>
          </w:p>
        </w:tc>
        <w:tc>
          <w:tcPr>
            <w:tcW w:type="dxa" w:w="1872"/>
          </w:tcPr>
          <w:p>
            <w:pPr>
              <w:spacing w:line="240" w:lineRule="auto" w:before="40" w:after="40"/>
            </w:pPr>
            <w:r>
              <w:rPr>
                <w:color w:val="000000"/>
                <w:sz w:val="20"/>
              </w:rPr>
            </w:r>
            <w:r>
              <w:rPr>
                <w:rFonts w:ascii="Arial" w:hAnsi="Arial" w:eastAsia="Arial" w:cs="Arial"/>
                <w:color w:val="000000"/>
                <w:sz w:val="20"/>
              </w:rPr>
              <w:t>$14,339</w:t>
            </w:r>
          </w:p>
        </w:tc>
        <w:tc>
          <w:tcPr>
            <w:tcW w:type="dxa" w:w="1872"/>
          </w:tcPr>
          <w:p>
            <w:pPr>
              <w:spacing w:line="240" w:lineRule="auto" w:before="40" w:after="40"/>
            </w:pPr>
            <w:r>
              <w:rPr>
                <w:color w:val="000000"/>
                <w:sz w:val="20"/>
              </w:rPr>
            </w:r>
            <w:r>
              <w:rPr>
                <w:rFonts w:ascii="Arial" w:hAnsi="Arial" w:eastAsia="Arial" w:cs="Arial"/>
                <w:color w:val="000000"/>
                <w:sz w:val="20"/>
              </w:rPr>
              <w:t>$14,339</w:t>
            </w:r>
          </w:p>
        </w:tc>
        <w:tc>
          <w:tcPr>
            <w:tcW w:type="dxa" w:w="1872"/>
          </w:tcPr>
          <w:p>
            <w:pPr>
              <w:spacing w:line="240" w:lineRule="auto" w:before="40" w:after="40"/>
            </w:pPr>
            <w:r>
              <w:rPr>
                <w:color w:val="000000"/>
                <w:sz w:val="20"/>
              </w:rPr>
            </w:r>
            <w:r>
              <w:rPr>
                <w:rFonts w:ascii="Arial" w:hAnsi="Arial" w:eastAsia="Arial" w:cs="Arial"/>
                <w:color w:val="000000"/>
                <w:sz w:val="20"/>
              </w:rPr>
              <w:t>$14,339</w:t>
            </w:r>
          </w:p>
        </w:tc>
        <w:tc>
          <w:tcPr>
            <w:tcW w:type="dxa" w:w="1872"/>
          </w:tcPr>
          <w:p>
            <w:pPr>
              <w:spacing w:line="240" w:lineRule="auto" w:before="40" w:after="40"/>
            </w:pPr>
            <w:r>
              <w:rPr>
                <w:color w:val="000000"/>
                <w:sz w:val="20"/>
              </w:rPr>
            </w:r>
            <w:r>
              <w:rPr>
                <w:rFonts w:ascii="Arial" w:hAnsi="Arial" w:eastAsia="Arial" w:cs="Arial"/>
                <w:color w:val="000000"/>
                <w:sz w:val="20"/>
              </w:rPr>
              <w:t>$14,339</w:t>
            </w:r>
          </w:p>
        </w:tc>
      </w:tr>
      <w:tr>
        <w:tc>
          <w:tcPr>
            <w:tcW w:type="dxa" w:w="1872"/>
          </w:tcPr>
          <w:p>
            <w:pPr>
              <w:spacing w:line="240" w:lineRule="auto" w:before="40" w:after="40"/>
            </w:pPr>
            <w:r>
              <w:rPr>
                <w:color w:val="000000"/>
                <w:sz w:val="20"/>
              </w:rPr>
            </w:r>
            <w:r>
              <w:rPr>
                <w:rFonts w:ascii="Arial" w:hAnsi="Arial" w:eastAsia="Arial" w:cs="Arial"/>
                <w:color w:val="000000"/>
                <w:sz w:val="20"/>
              </w:rPr>
              <w:t>State income tax</w:t>
            </w:r>
          </w:p>
        </w:tc>
        <w:tc>
          <w:tcPr>
            <w:tcW w:type="dxa" w:w="1872"/>
          </w:tcPr>
          <w:p>
            <w:pPr>
              <w:spacing w:line="240" w:lineRule="auto" w:before="40" w:after="40"/>
            </w:pPr>
            <w:r>
              <w:rPr>
                <w:color w:val="000000"/>
                <w:sz w:val="20"/>
              </w:rPr>
            </w:r>
            <w:r>
              <w:rPr>
                <w:rFonts w:ascii="Arial" w:hAnsi="Arial" w:eastAsia="Arial" w:cs="Arial"/>
                <w:color w:val="000000"/>
                <w:sz w:val="20"/>
              </w:rPr>
              <w:t>$11,328</w:t>
            </w:r>
          </w:p>
        </w:tc>
        <w:tc>
          <w:tcPr>
            <w:tcW w:type="dxa" w:w="1872"/>
          </w:tcPr>
          <w:p>
            <w:pPr>
              <w:spacing w:line="240" w:lineRule="auto" w:before="40" w:after="40"/>
            </w:pPr>
            <w:r>
              <w:rPr>
                <w:color w:val="000000"/>
                <w:sz w:val="20"/>
              </w:rPr>
            </w:r>
            <w:r>
              <w:rPr>
                <w:rFonts w:ascii="Arial" w:hAnsi="Arial" w:eastAsia="Arial" w:cs="Arial"/>
                <w:color w:val="000000"/>
                <w:sz w:val="20"/>
              </w:rPr>
              <w:t>$7,471</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$14,211</w:t>
            </w:r>
          </w:p>
        </w:tc>
      </w:tr>
      <w:tr>
        <w:tc>
          <w:tcPr>
            <w:tcW w:type="dxa" w:w="1872"/>
          </w:tcPr>
          <w:p>
            <w:pPr>
              <w:spacing w:line="240" w:lineRule="auto" w:before="40" w:after="40"/>
            </w:pPr>
            <w:r>
              <w:rPr>
                <w:color w:val="000000"/>
                <w:sz w:val="20"/>
              </w:rPr>
            </w:r>
            <w:r>
              <w:rPr>
                <w:rFonts w:ascii="Arial" w:hAnsi="Arial" w:eastAsia="Arial" w:cs="Arial"/>
                <w:color w:val="000000"/>
                <w:sz w:val="20"/>
              </w:rPr>
              <w:t>City income tax</w:t>
            </w:r>
          </w:p>
        </w:tc>
        <w:tc>
          <w:tcPr>
            <w:tcW w:type="dxa" w:w="1872"/>
          </w:tcPr>
          <w:p>
            <w:pPr>
              <w:spacing w:line="240" w:lineRule="auto" w:before="40" w:after="40"/>
            </w:pPr>
            <w:r>
              <w:rPr>
                <w:color w:val="000000"/>
                <w:sz w:val="20"/>
              </w:rPr>
            </w:r>
            <w:r>
              <w:rPr>
                <w:rFonts w:ascii="Arial" w:hAnsi="Arial" w:eastAsia="Arial" w:cs="Arial"/>
                <w:color w:val="000000"/>
                <w:sz w:val="20"/>
              </w:rPr>
              <w:t>$7,317</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r>
      <w:tr>
        <w:tc>
          <w:tcPr>
            <w:tcW w:type="dxa" w:w="1872"/>
          </w:tcPr>
          <w:p>
            <w:pPr>
              <w:spacing w:line="240" w:lineRule="auto" w:before="40" w:after="40"/>
            </w:pPr>
            <w:r>
              <w:rPr>
                <w:color w:val="000000"/>
                <w:sz w:val="20"/>
              </w:rPr>
            </w:r>
            <w:r>
              <w:rPr>
                <w:rFonts w:ascii="Arial" w:hAnsi="Arial" w:eastAsia="Arial" w:cs="Arial"/>
                <w:color w:val="000000"/>
                <w:sz w:val="20"/>
              </w:rPr>
              <w:t>State disability insurance</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$2,600</w:t>
            </w:r>
          </w:p>
        </w:tc>
      </w:tr>
      <w:tr>
        <w:tc>
          <w:tcPr>
            <w:tcW w:type="dxa" w:w="1872"/>
          </w:tcPr>
          <w:p>
            <w:pPr>
              <w:spacing w:line="240" w:lineRule="auto" w:before="40" w:after="40"/>
            </w:pPr>
            <w:r>
              <w:rPr>
                <w:color w:val="000000"/>
                <w:sz w:val="20"/>
              </w:rPr>
            </w:r>
            <w:r>
              <w:rPr>
                <w:rFonts w:ascii="Arial" w:hAnsi="Arial" w:eastAsia="Arial" w:cs="Arial"/>
                <w:color w:val="000000"/>
                <w:sz w:val="20"/>
              </w:rPr>
              <w:t>Total taxes</w:t>
            </w:r>
          </w:p>
        </w:tc>
        <w:tc>
          <w:tcPr>
            <w:tcW w:type="dxa" w:w="1872"/>
          </w:tcPr>
          <w:p>
            <w:pPr>
              <w:spacing w:line="240" w:lineRule="auto" w:before="40" w:after="40"/>
            </w:pPr>
            <w:r>
              <w:rPr>
                <w:color w:val="000000"/>
                <w:sz w:val="20"/>
              </w:rPr>
            </w:r>
            <w:r>
              <w:rPr>
                <w:rFonts w:ascii="Arial" w:hAnsi="Arial" w:eastAsia="Arial" w:cs="Arial"/>
                <w:color w:val="000000"/>
                <w:sz w:val="20"/>
              </w:rPr>
              <w:t>$69,718</w:t>
            </w:r>
          </w:p>
        </w:tc>
        <w:tc>
          <w:tcPr>
            <w:tcW w:type="dxa" w:w="1872"/>
          </w:tcPr>
          <w:p>
            <w:pPr>
              <w:spacing w:line="240" w:lineRule="auto" w:before="40" w:after="40"/>
            </w:pPr>
            <w:r>
              <w:rPr>
                <w:color w:val="000000"/>
                <w:sz w:val="20"/>
              </w:rPr>
            </w:r>
            <w:r>
              <w:rPr>
                <w:rFonts w:ascii="Arial" w:hAnsi="Arial" w:eastAsia="Arial" w:cs="Arial"/>
                <w:color w:val="000000"/>
                <w:sz w:val="20"/>
              </w:rPr>
              <w:t>$58,544</w:t>
            </w:r>
          </w:p>
        </w:tc>
        <w:tc>
          <w:tcPr>
            <w:tcW w:type="dxa" w:w="1872"/>
          </w:tcPr>
          <w:p>
            <w:pPr>
              <w:spacing w:line="240" w:lineRule="auto" w:before="40" w:after="40"/>
            </w:pPr>
            <w:r>
              <w:rPr>
                <w:color w:val="000000"/>
                <w:sz w:val="20"/>
              </w:rPr>
            </w:r>
            <w:r>
              <w:rPr>
                <w:rFonts w:ascii="Arial" w:hAnsi="Arial" w:eastAsia="Arial" w:cs="Arial"/>
                <w:color w:val="000000"/>
                <w:sz w:val="20"/>
              </w:rPr>
              <w:t>$51,073</w:t>
            </w:r>
          </w:p>
        </w:tc>
        <w:tc>
          <w:tcPr>
            <w:tcW w:type="dxa" w:w="1872"/>
          </w:tcPr>
          <w:p>
            <w:pPr>
              <w:spacing w:line="240" w:lineRule="auto" w:before="40" w:after="40"/>
            </w:pPr>
            <w:r>
              <w:rPr>
                <w:color w:val="000000"/>
                <w:sz w:val="20"/>
              </w:rPr>
            </w:r>
            <w:r>
              <w:rPr>
                <w:rFonts w:ascii="Arial" w:hAnsi="Arial" w:eastAsia="Arial" w:cs="Arial"/>
                <w:color w:val="000000"/>
                <w:sz w:val="20"/>
              </w:rPr>
              <w:t>$67,884</w:t>
            </w:r>
          </w:p>
        </w:tc>
      </w:tr>
      <w:tr>
        <w:tc>
          <w:tcPr>
            <w:tcW w:type="dxa" w:w="1872"/>
          </w:tcPr>
          <w:p>
            <w:pPr>
              <w:spacing w:line="240" w:lineRule="auto" w:before="40" w:after="40"/>
            </w:pPr>
            <w:r>
              <w:rPr>
                <w:color w:val="000000"/>
                <w:sz w:val="20"/>
              </w:rPr>
            </w:r>
            <w:r>
              <w:rPr>
                <w:rFonts w:ascii="Arial" w:hAnsi="Arial" w:eastAsia="Arial" w:cs="Arial"/>
                <w:color w:val="000000"/>
                <w:sz w:val="20"/>
              </w:rPr>
              <w:t>Take-home pay</w:t>
            </w:r>
          </w:p>
        </w:tc>
        <w:tc>
          <w:tcPr>
            <w:tcW w:type="dxa" w:w="1872"/>
          </w:tcPr>
          <w:p>
            <w:pPr>
              <w:spacing w:line="240" w:lineRule="auto" w:before="40" w:after="40"/>
            </w:pPr>
            <w:r>
              <w:rPr>
                <w:color w:val="000000"/>
                <w:sz w:val="20"/>
              </w:rPr>
            </w:r>
            <w:r>
              <w:rPr>
                <w:rFonts w:ascii="Arial" w:hAnsi="Arial" w:eastAsia="Arial" w:cs="Arial"/>
                <w:color w:val="000000"/>
                <w:sz w:val="20"/>
              </w:rPr>
              <w:t>$130,282</w:t>
            </w:r>
          </w:p>
        </w:tc>
        <w:tc>
          <w:tcPr>
            <w:tcW w:type="dxa" w:w="1872"/>
          </w:tcPr>
          <w:p>
            <w:pPr>
              <w:spacing w:line="240" w:lineRule="auto" w:before="40" w:after="40"/>
            </w:pPr>
            <w:r>
              <w:rPr>
                <w:color w:val="000000"/>
                <w:sz w:val="20"/>
              </w:rPr>
            </w:r>
            <w:r>
              <w:rPr>
                <w:rFonts w:ascii="Arial" w:hAnsi="Arial" w:eastAsia="Arial" w:cs="Arial"/>
                <w:color w:val="000000"/>
                <w:sz w:val="20"/>
              </w:rPr>
              <w:t>$141,456</w:t>
            </w:r>
          </w:p>
        </w:tc>
        <w:tc>
          <w:tcPr>
            <w:tcW w:type="dxa" w:w="1872"/>
          </w:tcPr>
          <w:p>
            <w:pPr>
              <w:spacing w:line="240" w:lineRule="auto" w:before="40" w:after="40"/>
            </w:pPr>
            <w:r>
              <w:rPr>
                <w:color w:val="000000"/>
                <w:sz w:val="20"/>
              </w:rPr>
            </w:r>
            <w:r>
              <w:rPr>
                <w:rFonts w:ascii="Arial" w:hAnsi="Arial" w:eastAsia="Arial" w:cs="Arial"/>
                <w:color w:val="000000"/>
                <w:sz w:val="20"/>
              </w:rPr>
              <w:t>$148,927</w:t>
            </w:r>
          </w:p>
        </w:tc>
        <w:tc>
          <w:tcPr>
            <w:tcW w:type="dxa" w:w="1872"/>
          </w:tcPr>
          <w:p>
            <w:pPr>
              <w:spacing w:line="240" w:lineRule="auto" w:before="40" w:after="40"/>
            </w:pPr>
            <w:r>
              <w:rPr>
                <w:color w:val="000000"/>
                <w:sz w:val="20"/>
              </w:rPr>
            </w:r>
            <w:r>
              <w:rPr>
                <w:rFonts w:ascii="Arial" w:hAnsi="Arial" w:eastAsia="Arial" w:cs="Arial"/>
                <w:color w:val="000000"/>
                <w:sz w:val="20"/>
              </w:rPr>
              <w:t>$132,116</w:t>
            </w:r>
          </w:p>
        </w:tc>
      </w:tr>
      <w:tr>
        <w:tc>
          <w:tcPr>
            <w:tcW w:type="dxa" w:w="1872"/>
          </w:tcPr>
          <w:p>
            <w:pPr>
              <w:spacing w:line="240" w:lineRule="auto" w:before="40" w:after="40"/>
            </w:pPr>
            <w:r>
              <w:rPr>
                <w:color w:val="000000"/>
                <w:sz w:val="20"/>
              </w:rPr>
            </w:r>
            <w:r>
              <w:rPr>
                <w:rFonts w:ascii="Arial" w:hAnsi="Arial" w:eastAsia="Arial" w:cs="Arial"/>
                <w:color w:val="000000"/>
                <w:sz w:val="20"/>
              </w:rPr>
              <w:t>Take-home per month</w:t>
            </w:r>
          </w:p>
        </w:tc>
        <w:tc>
          <w:tcPr>
            <w:tcW w:type="dxa" w:w="1872"/>
          </w:tcPr>
          <w:p>
            <w:pPr>
              <w:spacing w:line="240" w:lineRule="auto" w:before="40" w:after="40"/>
            </w:pPr>
            <w:r>
              <w:rPr>
                <w:color w:val="000000"/>
                <w:sz w:val="20"/>
              </w:rPr>
            </w:r>
            <w:r>
              <w:rPr>
                <w:rFonts w:ascii="Arial" w:hAnsi="Arial" w:eastAsia="Arial" w:cs="Arial"/>
                <w:color w:val="000000"/>
                <w:sz w:val="20"/>
              </w:rPr>
              <w:t>$10,857</w:t>
            </w:r>
          </w:p>
        </w:tc>
        <w:tc>
          <w:tcPr>
            <w:tcW w:type="dxa" w:w="1872"/>
          </w:tcPr>
          <w:p>
            <w:pPr>
              <w:spacing w:line="240" w:lineRule="auto" w:before="40" w:after="40"/>
            </w:pPr>
            <w:r>
              <w:rPr>
                <w:color w:val="000000"/>
                <w:sz w:val="20"/>
              </w:rPr>
            </w:r>
            <w:r>
              <w:rPr>
                <w:rFonts w:ascii="Arial" w:hAnsi="Arial" w:eastAsia="Arial" w:cs="Arial"/>
                <w:color w:val="000000"/>
                <w:sz w:val="20"/>
              </w:rPr>
              <w:t>$11,788</w:t>
            </w:r>
          </w:p>
        </w:tc>
        <w:tc>
          <w:tcPr>
            <w:tcW w:type="dxa" w:w="1872"/>
          </w:tcPr>
          <w:p>
            <w:pPr>
              <w:spacing w:line="240" w:lineRule="auto" w:before="40" w:after="40"/>
            </w:pPr>
            <w:r>
              <w:rPr>
                <w:color w:val="000000"/>
                <w:sz w:val="20"/>
              </w:rPr>
            </w:r>
            <w:r>
              <w:rPr>
                <w:rFonts w:ascii="Arial" w:hAnsi="Arial" w:eastAsia="Arial" w:cs="Arial"/>
                <w:color w:val="000000"/>
                <w:sz w:val="20"/>
              </w:rPr>
              <w:t>$12,411</w:t>
            </w:r>
          </w:p>
        </w:tc>
        <w:tc>
          <w:tcPr>
            <w:tcW w:type="dxa" w:w="1872"/>
          </w:tcPr>
          <w:p>
            <w:pPr>
              <w:spacing w:line="240" w:lineRule="auto" w:before="40" w:after="40"/>
            </w:pPr>
            <w:r>
              <w:rPr>
                <w:color w:val="000000"/>
                <w:sz w:val="20"/>
              </w:rPr>
            </w:r>
            <w:r>
              <w:rPr>
                <w:rFonts w:ascii="Arial" w:hAnsi="Arial" w:eastAsia="Arial" w:cs="Arial"/>
                <w:color w:val="000000"/>
                <w:sz w:val="20"/>
              </w:rPr>
              <w:t>$11,010</w:t>
            </w:r>
          </w:p>
        </w:tc>
      </w:tr>
      <w:tr>
        <w:tc>
          <w:tcPr>
            <w:tcW w:type="dxa" w:w="1872"/>
          </w:tcPr>
          <w:p>
            <w:pPr>
              <w:spacing w:line="240" w:lineRule="auto" w:before="40" w:after="40"/>
            </w:pPr>
            <w:r>
              <w:rPr>
                <w:color w:val="000000"/>
                <w:sz w:val="20"/>
              </w:rPr>
            </w:r>
            <w:r>
              <w:rPr>
                <w:rFonts w:ascii="Arial" w:hAnsi="Arial" w:eastAsia="Arial" w:cs="Arial"/>
                <w:color w:val="000000"/>
                <w:sz w:val="20"/>
              </w:rPr>
              <w:t>Effective tax rate</w:t>
            </w:r>
          </w:p>
        </w:tc>
        <w:tc>
          <w:tcPr>
            <w:tcW w:type="dxa" w:w="1872"/>
          </w:tcPr>
          <w:p>
            <w:pPr>
              <w:spacing w:line="240" w:lineRule="auto" w:before="40" w:after="40"/>
            </w:pPr>
            <w:r>
              <w:rPr>
                <w:color w:val="000000"/>
                <w:sz w:val="20"/>
              </w:rPr>
            </w:r>
            <w:r>
              <w:rPr>
                <w:rFonts w:ascii="Arial" w:hAnsi="Arial" w:eastAsia="Arial" w:cs="Arial"/>
                <w:color w:val="000000"/>
                <w:sz w:val="20"/>
              </w:rPr>
              <w:t>34.9%</w:t>
            </w:r>
          </w:p>
        </w:tc>
        <w:tc>
          <w:tcPr>
            <w:tcW w:type="dxa" w:w="1872"/>
          </w:tcPr>
          <w:p>
            <w:pPr>
              <w:spacing w:line="240" w:lineRule="auto" w:before="40" w:after="40"/>
            </w:pPr>
            <w:r>
              <w:rPr>
                <w:color w:val="000000"/>
                <w:sz w:val="20"/>
              </w:rPr>
            </w:r>
            <w:r>
              <w:rPr>
                <w:rFonts w:ascii="Arial" w:hAnsi="Arial" w:eastAsia="Arial" w:cs="Arial"/>
                <w:color w:val="000000"/>
                <w:sz w:val="20"/>
              </w:rPr>
              <w:t>29.3%</w:t>
            </w:r>
          </w:p>
        </w:tc>
        <w:tc>
          <w:tcPr>
            <w:tcW w:type="dxa" w:w="1872"/>
          </w:tcPr>
          <w:p>
            <w:pPr>
              <w:spacing w:line="240" w:lineRule="auto" w:before="40" w:after="40"/>
            </w:pPr>
            <w:r>
              <w:rPr>
                <w:color w:val="000000"/>
                <w:sz w:val="20"/>
              </w:rPr>
            </w:r>
            <w:r>
              <w:rPr>
                <w:rFonts w:ascii="Arial" w:hAnsi="Arial" w:eastAsia="Arial" w:cs="Arial"/>
                <w:color w:val="000000"/>
                <w:sz w:val="20"/>
              </w:rPr>
              <w:t>25.5%</w:t>
            </w:r>
          </w:p>
        </w:tc>
        <w:tc>
          <w:tcPr>
            <w:tcW w:type="dxa" w:w="1872"/>
          </w:tcPr>
          <w:p>
            <w:pPr>
              <w:spacing w:line="240" w:lineRule="auto" w:before="40" w:after="40"/>
            </w:pPr>
            <w:r>
              <w:rPr>
                <w:color w:val="000000"/>
                <w:sz w:val="20"/>
              </w:rPr>
            </w:r>
            <w:r>
              <w:rPr>
                <w:rFonts w:ascii="Arial" w:hAnsi="Arial" w:eastAsia="Arial" w:cs="Arial"/>
                <w:color w:val="000000"/>
                <w:sz w:val="20"/>
              </w:rPr>
              <w:t>33.9%</w:t>
            </w:r>
          </w:p>
        </w:tc>
      </w:tr>
      <w:tr>
        <w:tc>
          <w:tcPr>
            <w:tcW w:type="dxa" w:w="1872"/>
          </w:tcPr>
          <w:p>
            <w:pPr>
              <w:spacing w:line="240" w:lineRule="auto" w:before="40" w:after="40"/>
            </w:pPr>
            <w:r>
              <w:rPr>
                <w:color w:val="000000"/>
                <w:sz w:val="20"/>
              </w:rPr>
            </w:r>
            <w:r>
              <w:rPr>
                <w:rFonts w:ascii="Arial" w:hAnsi="Arial" w:eastAsia="Arial" w:cs="Arial"/>
                <w:color w:val="000000"/>
                <w:sz w:val="20"/>
              </w:rPr>
              <w:t>Gap versus New York (a year)</w:t>
            </w:r>
          </w:p>
        </w:tc>
        <w:tc>
          <w:tcPr>
            <w:tcW w:type="dxa" w:w="1872"/>
          </w:tcPr>
          <w:p>
            <w:pPr>
              <w:spacing w:line="240" w:lineRule="auto" w:before="40" w:after="40"/>
            </w:pPr>
            <w:r>
              <w:rPr>
                <w:color w:val="000000"/>
                <w:sz w:val="20"/>
              </w:rPr>
            </w:r>
            <w:r>
              <w:rPr>
                <w:rFonts w:ascii="Arial" w:hAnsi="Arial" w:eastAsia="Arial" w:cs="Arial"/>
                <w:color w:val="000000"/>
                <w:sz w:val="20"/>
              </w:rPr>
              <w:t>$0</w:t>
            </w:r>
          </w:p>
        </w:tc>
        <w:tc>
          <w:tcPr>
            <w:tcW w:type="dxa" w:w="1872"/>
          </w:tcPr>
          <w:p>
            <w:pPr>
              <w:spacing w:line="240" w:lineRule="auto" w:before="40" w:after="40"/>
            </w:pPr>
            <w:r>
              <w:rPr>
                <w:color w:val="000000"/>
                <w:sz w:val="20"/>
              </w:rPr>
            </w:r>
            <w:r>
              <w:rPr>
                <w:rFonts w:ascii="Arial" w:hAnsi="Arial" w:eastAsia="Arial" w:cs="Arial"/>
                <w:color w:val="000000"/>
                <w:sz w:val="20"/>
              </w:rPr>
              <w:t>$11,174</w:t>
            </w:r>
          </w:p>
        </w:tc>
        <w:tc>
          <w:tcPr>
            <w:tcW w:type="dxa" w:w="1872"/>
          </w:tcPr>
          <w:p>
            <w:pPr>
              <w:spacing w:line="240" w:lineRule="auto" w:before="40" w:after="40"/>
            </w:pPr>
            <w:r>
              <w:rPr>
                <w:color w:val="000000"/>
                <w:sz w:val="20"/>
              </w:rPr>
            </w:r>
            <w:r>
              <w:rPr>
                <w:rFonts w:ascii="Arial" w:hAnsi="Arial" w:eastAsia="Arial" w:cs="Arial"/>
                <w:color w:val="000000"/>
                <w:sz w:val="20"/>
              </w:rPr>
              <w:t>$18,645</w:t>
            </w:r>
          </w:p>
        </w:tc>
        <w:tc>
          <w:tcPr>
            <w:tcW w:type="dxa" w:w="1872"/>
          </w:tcPr>
          <w:p>
            <w:pPr>
              <w:spacing w:line="240" w:lineRule="auto" w:before="40" w:after="40"/>
            </w:pPr>
            <w:r>
              <w:rPr>
                <w:color w:val="000000"/>
                <w:sz w:val="20"/>
              </w:rPr>
            </w:r>
            <w:r>
              <w:rPr>
                <w:rFonts w:ascii="Arial" w:hAnsi="Arial" w:eastAsia="Arial" w:cs="Arial"/>
                <w:color w:val="000000"/>
                <w:sz w:val="20"/>
              </w:rPr>
              <w:t>$1,834</w:t>
            </w:r>
          </w:p>
        </w:tc>
      </w:tr>
    </w:tbl>
    <w:p>
      <w:pPr/>
    </w:p>
    <w:p>
      <w:pPr>
        <w:spacing w:line="240" w:lineRule="auto"/>
        <w:jc w:val="center"/>
      </w:pPr>
      <w:r>
        <w:drawing>
          <wp:inline xmlns:a="http://schemas.openxmlformats.org/drawingml/2006/main" xmlns:pic="http://schemas.openxmlformats.org/drawingml/2006/picture">
            <wp:extent cx="5943600" cy="3241964"/>
            <wp:docPr id="6" name="Picture 6"/>
            <wp:cNvGraphicFramePr>
              <a:graphicFrameLocks noChangeAspect="1"/>
            </wp:cNvGraphicFramePr>
            <a:graphic>
              <a:graphicData uri="http://schemas.openxmlformats.org/drawingml/2006/picture">
                <pic:pic>
                  <pic:nvPicPr>
                    <pic:cNvPr id="0" name="05-same-pay-four-cities.png"/>
                    <pic:cNvPicPr/>
                  </pic:nvPicPr>
                  <pic:blipFill>
                    <a:blip r:embed="rId16"/>
                    <a:stretch>
                      <a:fillRect/>
                    </a:stretch>
                  </pic:blipFill>
                  <pic:spPr>
                    <a:xfrm>
                      <a:off x="0" y="0"/>
                      <a:ext cx="5943600" cy="3241964"/>
                    </a:xfrm>
                    <a:prstGeom prst="rect"/>
                  </pic:spPr>
                </pic:pic>
              </a:graphicData>
            </a:graphic>
          </wp:inline>
        </w:drawing>
      </w:r>
    </w:p>
    <w:p>
      <w:pPr>
        <w:jc w:val="center"/>
      </w:pPr>
      <w:r>
        <w:rPr>
          <w:rFonts w:ascii="Arial" w:hAnsi="Arial" w:eastAsia="Arial" w:cs="Arial"/>
          <w:i/>
          <w:sz w:val="20"/>
        </w:rPr>
        <w:t>The gray federal block is identical in all four cities, so every dollar of difference sits in the orange and green state and city segments on the right.</w:t>
      </w:r>
    </w:p>
    <w:p>
      <w:pPr/>
    </w:p>
    <w:p>
      <w:pPr/>
      <w:r>
        <w:rPr>
          <w:rFonts w:ascii="Arial" w:hAnsi="Arial" w:eastAsia="Arial" w:cs="Arial"/>
        </w:rPr>
        <w:t>[VERIFY: North Carolina 3.99 percent flat rate for tax years after 2025 and $12,750 single standard deduction per ncdor.gov (2026 deduction not yet posted); Texas has no individual income tax; California 2026 indexed schedule, $5,900 standard deduction and $158 exemption credit per FTB Tax News 2026 indexing; California SDI 1.3 percent with no wage ceiling per EDD; script-checked]</w:t>
      </w:r>
    </w:p>
    <w:p>
      <w:pPr/>
    </w:p>
    <w:p>
      <w:pPr/>
      <w:r>
        <w:rPr>
          <w:rFonts w:ascii="Arial" w:hAnsi="Arial" w:eastAsia="Arial" w:cs="Arial"/>
          <w:b/>
        </w:rPr>
        <w:t>Federal income tax and payroll taxes are identical in every city, so the $18,645 gap between Houston and New York is entirely state and city income tax.</w:t>
      </w:r>
      <w:r>
        <w:rPr>
          <w:rFonts w:ascii="Arial" w:hAnsi="Arial" w:eastAsia="Arial" w:cs="Arial"/>
        </w:rPr>
        <w:t xml:space="preserve"> Everything that differs is in the bottom half of the table.</w:t>
      </w:r>
    </w:p>
    <w:p>
      <w:pPr/>
    </w:p>
    <w:p>
      <w:pPr/>
      <w:r>
        <w:rPr>
          <w:rFonts w:ascii="Arial" w:hAnsi="Arial" w:eastAsia="Arial" w:cs="Arial"/>
        </w:rPr>
        <w:t>Charlotte is simple. North Carolina charges one flat rate on income after a $12,750 standard deduction, and the rate is 3.99 percent for 2026, down from 4.25 percent in 2025, with further cuts scheduled if revenue targets are hit [VERIFY: ncdor.gov tax rate schedules]. No city tax. The analyst keeps $11,174 more than in New York.</w:t>
      </w:r>
    </w:p>
    <w:p>
      <w:pPr/>
    </w:p>
    <w:p>
      <w:pPr/>
      <w:r>
        <w:rPr>
          <w:rFonts w:ascii="Arial" w:hAnsi="Arial" w:eastAsia="Arial" w:cs="Arial"/>
        </w:rPr>
        <w:t>Houston is simpler. Texas has no personal income tax, so the only taxes are federal [VERIFY: Texas levies no individual income tax]. The analyst keeps $148,927, which is $18,645 more than in Manhattan, and rent is roughly half, so the real gap is bigger than the tax gap. The trade is that Houston banking is mostly energy coverage, which is a career choice as much as a cost-of-living one.</w:t>
      </w:r>
    </w:p>
    <w:p>
      <w:pPr/>
    </w:p>
    <w:p>
      <w:pPr/>
      <w:r>
        <w:rPr>
          <w:rFonts w:ascii="Arial" w:hAnsi="Arial" w:eastAsia="Arial" w:cs="Arial"/>
        </w:rPr>
        <w:t>San Francisco surprises people. California's brackets climb quickly and this analyst's top dollars are taxed at 9.3 percent, but the state's standard deduction is small ($5,900), the personal exemption is a $158 credit, and California adds a 1.3 percent state disability insurance deduction on every dollar of wages with no cap [VERIFY: FTB and EDD figures as above]. Add it up and San Francisco's bill is $67,884, only $1,834 less than New York's. The difference between the two most expensive cities is almost entirely that New York has a city income tax and San Francisco doesn't.</w:t>
      </w:r>
    </w:p>
    <w:p>
      <w:pPr/>
    </w:p>
    <w:p>
      <w:pPr/>
      <w:r>
        <w:rPr>
          <w:rFonts w:ascii="Arial" w:hAnsi="Arial" w:eastAsia="Arial" w:cs="Arial"/>
          <w:b/>
        </w:rPr>
        <w:t>New York City is the reason the New York column is highest: of the ten largest US cities, only New York and Philadelphia tax their residents' wages, and NYC's 3.876 percent top rate costs this analyst $7,317 a year</w:t>
      </w:r>
      <w:r>
        <w:rPr>
          <w:rFonts w:ascii="Arial" w:hAnsi="Arial" w:eastAsia="Arial" w:cs="Arial"/>
        </w:rPr>
        <w:t xml:space="preserve"> [VERIFY: Tax Foundation "Local Income Taxes: A Primer" (2023, updated 2024) lists about 5,000 local taxing jurisdictions in 16 states, mostly small municipalities and school districts in Pennsylvania, Ohio, Maryland and Indiana, with New York City, Philadelphia, Detroit, Baltimore and Columbus the large cities among them]. Chicago, Los Angeles, Houston, Dallas, Boston, Charlotte and San Francisco charge their residents nothing on wages.</w:t>
      </w:r>
    </w:p>
    <w:p>
      <w:pPr/>
    </w:p>
    <w:p>
      <w:pPr/>
      <w:r>
        <w:rPr>
          <w:rFonts w:ascii="Arial" w:hAnsi="Arial" w:eastAsia="Arial" w:cs="Arial"/>
        </w:rPr>
        <w:t>That's also why a lot of first-years end up in Hoboken or Jersey City. Live in New Jersey and work in Manhattan and you pay New Jersey tax instead, with a credit for the New York State tax you owe as a nonresident, and the city's $7,317, about $610 a month, never shows up [VERIFY: New Jersey resident credit for taxes paid to New York; the net saving depends on the New Jersey schedule and is close to but not exactly the NYC tax]. Whether the PATH train is worth $610 a month is a personal question. It is at least a question worth asking with the number in front of you.</w:t>
      </w:r>
    </w:p>
    <w:p>
      <w:pPr/>
    </w:p>
    <w:p>
      <w:pPr>
        <w:pStyle w:val="Heading2"/>
      </w:pPr>
      <w:r>
        <w:rPr>
          <w:rFonts w:ascii="Arial" w:hAnsi="Arial" w:eastAsia="Arial" w:cs="Arial"/>
        </w:rPr>
        <w:t>8. A first-year in New York can save $4,000 to $6,000 a month if rent stays under $2,500</w:t>
      </w:r>
    </w:p>
    <w:p>
      <w:pPr/>
      <w:r>
        <w:rPr>
          <w:rFonts w:ascii="Arial" w:hAnsi="Arial" w:eastAsia="Arial" w:cs="Arial"/>
        </w:rPr>
        <w:t>Take-home in section 5, with the 401(k) and health premium coming out, is $10,114 a month. Here's what that buys in Manhattan in late 2026.</w:t>
      </w:r>
    </w:p>
    <w:p>
      <w:pPr/>
    </w:p>
    <w:p>
      <w:pPr/>
      <w:r>
        <w:rPr>
          <w:rFonts w:ascii="Arial" w:hAnsi="Arial" w:eastAsia="Arial" w:cs="Arial"/>
        </w:rPr>
        <w:t>Rent decides everything. Studio asking rents in the neighborhoods analysts actually live in ran about $3,400 to $4,200 in October 2026: roughly $3,450 on the Upper East Side, $3,500 in the East Village, $3,770 in Hell's Kitchen, $3,900 in Murray Hill and $4,160 in the Financial District, with the Manhattan median asking rent across all apartment sizes at $4,927 in StreetEasy's May 2026 report [VERIFY: neighborhood studio medians per RentHop, October 2026 (Zumper shows $3,775 for an Upper East Side studio and $4,013 in the Financial District the same month); Manhattan median per StreetEasy, May 2026]. A bedroom in a shared two or three-bedroom in the same neighborhoods runs about $2,200 to $3,000 [VERIFY: share-of-apartment estimate; check against current StreetEasy two and three-bedroom listings in Murray Hill, Kips Bay, the Upper East Side and the Financial District].</w:t>
      </w:r>
    </w:p>
    <w:p>
      <w:pPr/>
    </w:p>
    <w:p>
      <w:pPr/>
      <w:r>
        <w:rPr>
          <w:rFonts w:ascii="Arial" w:hAnsi="Arial" w:eastAsia="Arial" w:cs="Arial"/>
          <w:b/>
        </w:rPr>
        <w:t>Landlords qualify you on your base salary, not your bonus, so the 40x rule decides your apartment before the first bonus ever hits.</w:t>
      </w:r>
      <w:r>
        <w:rPr>
          <w:rFonts w:ascii="Arial" w:hAnsi="Arial" w:eastAsia="Arial" w:cs="Arial"/>
        </w:rPr>
        <w:t xml:space="preserve"> The rule: your annual income has to be at least 40 times the monthly rent, and a guarantor usually needs 80 times [VERIFY: 40x and 80x conventions per NYC rental guides; some buildings use 45x or accept an offer letter]. A $2,500 room needs $100,000 of income and a $3,800 studio needs $152,000. On a $110,000 base alone, the studio fails the test, which is why first-years get asked for an offer letter showing the bonus target, a guarantor, or several months of rent up front. The bonus doesn't count until it's on a pay stub.</w:t>
      </w:r>
    </w:p>
    <w:p>
      <w:pPr/>
    </w:p>
    <w:p>
      <w:pPr/>
      <w:r>
        <w:rPr>
          <w:rFonts w:ascii="Arial" w:hAnsi="Arial" w:eastAsia="Arial" w:cs="Arial"/>
        </w:rPr>
        <w:t>One piece of good news for the 2027 class: since June 2025, New York's FARE Act has required the party who hires a broker to pay the broker, which for most listings means the landlord. StreetEasy estimated the average fee a renter would otherwise have paid at lease signing at $5,862 in May 2026, against about $46 a month of higher asking rent on the affected listings [VERIFY: StreetEasy, June 11, 2026 post on the FARE Act's first year]. For a first-year with a $10,000 signing bonus, not writing a $5,000 check to a broker is the difference between furnishing the apartment and not.</w:t>
      </w:r>
    </w:p>
    <w:p>
      <w:pPr/>
    </w:p>
    <w:p>
      <w:pPr/>
      <w:r>
        <w:rPr>
          <w:rFonts w:ascii="Arial" w:hAnsi="Arial" w:eastAsia="Arial" w:cs="Arial"/>
        </w:rPr>
        <w:t>Transit is cheap. OMNY caps subway and bus fares at $35 a week, so riding every day costs about $152 a month, and most desks cover a car home after a late hour [VERIFY: $3 fare and $35 weekly cap per mta.info, October 2026; car and dinner policies by bank]. Food is cheaper than it looks on paper for the same reason: the desk pays for dinner on the nights you're there past the cutoff, which as a first-year is most nights.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Line</w:t>
            </w:r>
          </w:p>
        </w:tc>
        <w:tc>
          <w:tcPr>
            <w:tcW w:type="dxa" w:w="2340"/>
          </w:tcPr>
          <w:p>
            <w:pPr>
              <w:spacing w:line="240" w:lineRule="auto" w:before="40" w:after="40"/>
            </w:pPr>
            <w:r>
              <w:rPr>
                <w:color w:val="000000"/>
                <w:sz w:val="20"/>
              </w:rPr>
            </w:r>
            <w:r>
              <w:rPr>
                <w:rFonts w:ascii="Arial" w:hAnsi="Arial" w:eastAsia="Arial" w:cs="Arial"/>
                <w:b/>
                <w:color w:val="000000"/>
                <w:sz w:val="20"/>
              </w:rPr>
              <w:t>Shared, careful</w:t>
            </w:r>
          </w:p>
        </w:tc>
        <w:tc>
          <w:tcPr>
            <w:tcW w:type="dxa" w:w="2340"/>
          </w:tcPr>
          <w:p>
            <w:pPr>
              <w:spacing w:line="240" w:lineRule="auto" w:before="40" w:after="40"/>
            </w:pPr>
            <w:r>
              <w:rPr>
                <w:color w:val="000000"/>
                <w:sz w:val="20"/>
              </w:rPr>
            </w:r>
            <w:r>
              <w:rPr>
                <w:rFonts w:ascii="Arial" w:hAnsi="Arial" w:eastAsia="Arial" w:cs="Arial"/>
                <w:b/>
                <w:color w:val="000000"/>
                <w:sz w:val="20"/>
              </w:rPr>
              <w:t>Shared, typical</w:t>
            </w:r>
          </w:p>
        </w:tc>
        <w:tc>
          <w:tcPr>
            <w:tcW w:type="dxa" w:w="2340"/>
          </w:tcPr>
          <w:p>
            <w:pPr>
              <w:spacing w:line="240" w:lineRule="auto" w:before="40" w:after="40"/>
            </w:pPr>
            <w:r>
              <w:rPr>
                <w:color w:val="000000"/>
                <w:sz w:val="20"/>
              </w:rPr>
            </w:r>
            <w:r>
              <w:rPr>
                <w:rFonts w:ascii="Arial" w:hAnsi="Arial" w:eastAsia="Arial" w:cs="Arial"/>
                <w:b/>
                <w:color w:val="000000"/>
                <w:sz w:val="20"/>
              </w:rPr>
              <w:t>Studio, typical</w:t>
            </w:r>
          </w:p>
        </w:tc>
      </w:tr>
      <w:tr>
        <w:tc>
          <w:tcPr>
            <w:tcW w:type="dxa" w:w="2340"/>
          </w:tcPr>
          <w:p>
            <w:pPr>
              <w:spacing w:line="240" w:lineRule="auto" w:before="40" w:after="40"/>
            </w:pPr>
            <w:r>
              <w:rPr>
                <w:color w:val="000000"/>
                <w:sz w:val="20"/>
              </w:rPr>
            </w:r>
            <w:r>
              <w:rPr>
                <w:rFonts w:ascii="Arial" w:hAnsi="Arial" w:eastAsia="Arial" w:cs="Arial"/>
                <w:color w:val="000000"/>
                <w:sz w:val="20"/>
              </w:rPr>
              <w:t>Take-home per month</w:t>
            </w:r>
          </w:p>
        </w:tc>
        <w:tc>
          <w:tcPr>
            <w:tcW w:type="dxa" w:w="2340"/>
          </w:tcPr>
          <w:p>
            <w:pPr>
              <w:spacing w:line="240" w:lineRule="auto" w:before="40" w:after="40"/>
            </w:pPr>
            <w:r>
              <w:rPr>
                <w:color w:val="000000"/>
                <w:sz w:val="20"/>
              </w:rPr>
            </w:r>
            <w:r>
              <w:rPr>
                <w:rFonts w:ascii="Arial" w:hAnsi="Arial" w:eastAsia="Arial" w:cs="Arial"/>
                <w:color w:val="000000"/>
                <w:sz w:val="20"/>
              </w:rPr>
              <w:t>$10,114</w:t>
            </w:r>
          </w:p>
        </w:tc>
        <w:tc>
          <w:tcPr>
            <w:tcW w:type="dxa" w:w="2340"/>
          </w:tcPr>
          <w:p>
            <w:pPr>
              <w:spacing w:line="240" w:lineRule="auto" w:before="40" w:after="40"/>
            </w:pPr>
            <w:r>
              <w:rPr>
                <w:color w:val="000000"/>
                <w:sz w:val="20"/>
              </w:rPr>
            </w:r>
            <w:r>
              <w:rPr>
                <w:rFonts w:ascii="Arial" w:hAnsi="Arial" w:eastAsia="Arial" w:cs="Arial"/>
                <w:color w:val="000000"/>
                <w:sz w:val="20"/>
              </w:rPr>
              <w:t>$10,114</w:t>
            </w:r>
          </w:p>
        </w:tc>
        <w:tc>
          <w:tcPr>
            <w:tcW w:type="dxa" w:w="2340"/>
          </w:tcPr>
          <w:p>
            <w:pPr>
              <w:spacing w:line="240" w:lineRule="auto" w:before="40" w:after="40"/>
            </w:pPr>
            <w:r>
              <w:rPr>
                <w:color w:val="000000"/>
                <w:sz w:val="20"/>
              </w:rPr>
            </w:r>
            <w:r>
              <w:rPr>
                <w:rFonts w:ascii="Arial" w:hAnsi="Arial" w:eastAsia="Arial" w:cs="Arial"/>
                <w:color w:val="000000"/>
                <w:sz w:val="20"/>
              </w:rPr>
              <w:t>$10,114</w:t>
            </w:r>
          </w:p>
        </w:tc>
      </w:tr>
      <w:tr>
        <w:tc>
          <w:tcPr>
            <w:tcW w:type="dxa" w:w="2340"/>
          </w:tcPr>
          <w:p>
            <w:pPr>
              <w:spacing w:line="240" w:lineRule="auto" w:before="40" w:after="40"/>
            </w:pPr>
            <w:r>
              <w:rPr>
                <w:color w:val="000000"/>
                <w:sz w:val="20"/>
              </w:rPr>
            </w:r>
            <w:r>
              <w:rPr>
                <w:rFonts w:ascii="Arial" w:hAnsi="Arial" w:eastAsia="Arial" w:cs="Arial"/>
                <w:color w:val="000000"/>
                <w:sz w:val="20"/>
              </w:rPr>
              <w:t>Rent</w:t>
            </w:r>
          </w:p>
        </w:tc>
        <w:tc>
          <w:tcPr>
            <w:tcW w:type="dxa" w:w="2340"/>
          </w:tcPr>
          <w:p>
            <w:pPr>
              <w:spacing w:line="240" w:lineRule="auto" w:before="40" w:after="40"/>
            </w:pPr>
            <w:r>
              <w:rPr>
                <w:color w:val="000000"/>
                <w:sz w:val="20"/>
              </w:rPr>
            </w:r>
            <w:r>
              <w:rPr>
                <w:rFonts w:ascii="Arial" w:hAnsi="Arial" w:eastAsia="Arial" w:cs="Arial"/>
                <w:color w:val="000000"/>
                <w:sz w:val="20"/>
              </w:rPr>
              <w:t>$2,500</w:t>
            </w:r>
          </w:p>
        </w:tc>
        <w:tc>
          <w:tcPr>
            <w:tcW w:type="dxa" w:w="2340"/>
          </w:tcPr>
          <w:p>
            <w:pPr>
              <w:spacing w:line="240" w:lineRule="auto" w:before="40" w:after="40"/>
            </w:pPr>
            <w:r>
              <w:rPr>
                <w:color w:val="000000"/>
                <w:sz w:val="20"/>
              </w:rPr>
            </w:r>
            <w:r>
              <w:rPr>
                <w:rFonts w:ascii="Arial" w:hAnsi="Arial" w:eastAsia="Arial" w:cs="Arial"/>
                <w:color w:val="000000"/>
                <w:sz w:val="20"/>
              </w:rPr>
              <w:t>$2,500</w:t>
            </w:r>
          </w:p>
        </w:tc>
        <w:tc>
          <w:tcPr>
            <w:tcW w:type="dxa" w:w="2340"/>
          </w:tcPr>
          <w:p>
            <w:pPr>
              <w:spacing w:line="240" w:lineRule="auto" w:before="40" w:after="40"/>
            </w:pPr>
            <w:r>
              <w:rPr>
                <w:color w:val="000000"/>
                <w:sz w:val="20"/>
              </w:rPr>
            </w:r>
            <w:r>
              <w:rPr>
                <w:rFonts w:ascii="Arial" w:hAnsi="Arial" w:eastAsia="Arial" w:cs="Arial"/>
                <w:color w:val="000000"/>
                <w:sz w:val="20"/>
              </w:rPr>
              <w:t>$3,800</w:t>
            </w:r>
          </w:p>
        </w:tc>
      </w:tr>
      <w:tr>
        <w:tc>
          <w:tcPr>
            <w:tcW w:type="dxa" w:w="2340"/>
          </w:tcPr>
          <w:p>
            <w:pPr>
              <w:spacing w:line="240" w:lineRule="auto" w:before="40" w:after="40"/>
            </w:pPr>
            <w:r>
              <w:rPr>
                <w:color w:val="000000"/>
                <w:sz w:val="20"/>
              </w:rPr>
            </w:r>
            <w:r>
              <w:rPr>
                <w:rFonts w:ascii="Arial" w:hAnsi="Arial" w:eastAsia="Arial" w:cs="Arial"/>
                <w:color w:val="000000"/>
                <w:sz w:val="20"/>
              </w:rPr>
              <w:t>Utilities, internet, phone</w:t>
            </w:r>
          </w:p>
        </w:tc>
        <w:tc>
          <w:tcPr>
            <w:tcW w:type="dxa" w:w="2340"/>
          </w:tcPr>
          <w:p>
            <w:pPr>
              <w:spacing w:line="240" w:lineRule="auto" w:before="40" w:after="40"/>
            </w:pPr>
            <w:r>
              <w:rPr>
                <w:color w:val="000000"/>
                <w:sz w:val="20"/>
              </w:rPr>
            </w:r>
            <w:r>
              <w:rPr>
                <w:rFonts w:ascii="Arial" w:hAnsi="Arial" w:eastAsia="Arial" w:cs="Arial"/>
                <w:color w:val="000000"/>
                <w:sz w:val="20"/>
              </w:rPr>
              <w:t>$200</w:t>
            </w:r>
          </w:p>
        </w:tc>
        <w:tc>
          <w:tcPr>
            <w:tcW w:type="dxa" w:w="2340"/>
          </w:tcPr>
          <w:p>
            <w:pPr>
              <w:spacing w:line="240" w:lineRule="auto" w:before="40" w:after="40"/>
            </w:pPr>
            <w:r>
              <w:rPr>
                <w:color w:val="000000"/>
                <w:sz w:val="20"/>
              </w:rPr>
            </w:r>
            <w:r>
              <w:rPr>
                <w:rFonts w:ascii="Arial" w:hAnsi="Arial" w:eastAsia="Arial" w:cs="Arial"/>
                <w:color w:val="000000"/>
                <w:sz w:val="20"/>
              </w:rPr>
              <w:t>$200</w:t>
            </w:r>
          </w:p>
        </w:tc>
        <w:tc>
          <w:tcPr>
            <w:tcW w:type="dxa" w:w="2340"/>
          </w:tcPr>
          <w:p>
            <w:pPr>
              <w:spacing w:line="240" w:lineRule="auto" w:before="40" w:after="40"/>
            </w:pPr>
            <w:r>
              <w:rPr>
                <w:color w:val="000000"/>
                <w:sz w:val="20"/>
              </w:rPr>
            </w:r>
            <w:r>
              <w:rPr>
                <w:rFonts w:ascii="Arial" w:hAnsi="Arial" w:eastAsia="Arial" w:cs="Arial"/>
                <w:color w:val="000000"/>
                <w:sz w:val="20"/>
              </w:rPr>
              <w:t>$250</w:t>
            </w:r>
          </w:p>
        </w:tc>
      </w:tr>
      <w:tr>
        <w:tc>
          <w:tcPr>
            <w:tcW w:type="dxa" w:w="2340"/>
          </w:tcPr>
          <w:p>
            <w:pPr>
              <w:spacing w:line="240" w:lineRule="auto" w:before="40" w:after="40"/>
            </w:pPr>
            <w:r>
              <w:rPr>
                <w:color w:val="000000"/>
                <w:sz w:val="20"/>
              </w:rPr>
            </w:r>
            <w:r>
              <w:rPr>
                <w:rFonts w:ascii="Arial" w:hAnsi="Arial" w:eastAsia="Arial" w:cs="Arial"/>
                <w:color w:val="000000"/>
                <w:sz w:val="20"/>
              </w:rPr>
              <w:t>Transit (OMNY $35 weekly cap)</w:t>
            </w:r>
          </w:p>
        </w:tc>
        <w:tc>
          <w:tcPr>
            <w:tcW w:type="dxa" w:w="2340"/>
          </w:tcPr>
          <w:p>
            <w:pPr>
              <w:spacing w:line="240" w:lineRule="auto" w:before="40" w:after="40"/>
            </w:pPr>
            <w:r>
              <w:rPr>
                <w:color w:val="000000"/>
                <w:sz w:val="20"/>
              </w:rPr>
            </w:r>
            <w:r>
              <w:rPr>
                <w:rFonts w:ascii="Arial" w:hAnsi="Arial" w:eastAsia="Arial" w:cs="Arial"/>
                <w:color w:val="000000"/>
                <w:sz w:val="20"/>
              </w:rPr>
              <w:t>$152</w:t>
            </w:r>
          </w:p>
        </w:tc>
        <w:tc>
          <w:tcPr>
            <w:tcW w:type="dxa" w:w="2340"/>
          </w:tcPr>
          <w:p>
            <w:pPr>
              <w:spacing w:line="240" w:lineRule="auto" w:before="40" w:after="40"/>
            </w:pPr>
            <w:r>
              <w:rPr>
                <w:color w:val="000000"/>
                <w:sz w:val="20"/>
              </w:rPr>
            </w:r>
            <w:r>
              <w:rPr>
                <w:rFonts w:ascii="Arial" w:hAnsi="Arial" w:eastAsia="Arial" w:cs="Arial"/>
                <w:color w:val="000000"/>
                <w:sz w:val="20"/>
              </w:rPr>
              <w:t>$152</w:t>
            </w:r>
          </w:p>
        </w:tc>
        <w:tc>
          <w:tcPr>
            <w:tcW w:type="dxa" w:w="2340"/>
          </w:tcPr>
          <w:p>
            <w:pPr>
              <w:spacing w:line="240" w:lineRule="auto" w:before="40" w:after="40"/>
            </w:pPr>
            <w:r>
              <w:rPr>
                <w:color w:val="000000"/>
                <w:sz w:val="20"/>
              </w:rPr>
            </w:r>
            <w:r>
              <w:rPr>
                <w:rFonts w:ascii="Arial" w:hAnsi="Arial" w:eastAsia="Arial" w:cs="Arial"/>
                <w:color w:val="000000"/>
                <w:sz w:val="20"/>
              </w:rPr>
              <w:t>$152</w:t>
            </w:r>
          </w:p>
        </w:tc>
      </w:tr>
      <w:tr>
        <w:tc>
          <w:tcPr>
            <w:tcW w:type="dxa" w:w="2340"/>
          </w:tcPr>
          <w:p>
            <w:pPr>
              <w:spacing w:line="240" w:lineRule="auto" w:before="40" w:after="40"/>
            </w:pPr>
            <w:r>
              <w:rPr>
                <w:color w:val="000000"/>
                <w:sz w:val="20"/>
              </w:rPr>
            </w:r>
            <w:r>
              <w:rPr>
                <w:rFonts w:ascii="Arial" w:hAnsi="Arial" w:eastAsia="Arial" w:cs="Arial"/>
                <w:color w:val="000000"/>
                <w:sz w:val="20"/>
              </w:rPr>
              <w:t>Groceries and food the desk does not cover</w:t>
            </w:r>
          </w:p>
        </w:tc>
        <w:tc>
          <w:tcPr>
            <w:tcW w:type="dxa" w:w="2340"/>
          </w:tcPr>
          <w:p>
            <w:pPr>
              <w:spacing w:line="240" w:lineRule="auto" w:before="40" w:after="40"/>
            </w:pPr>
            <w:r>
              <w:rPr>
                <w:color w:val="000000"/>
                <w:sz w:val="20"/>
              </w:rPr>
            </w:r>
            <w:r>
              <w:rPr>
                <w:rFonts w:ascii="Arial" w:hAnsi="Arial" w:eastAsia="Arial" w:cs="Arial"/>
                <w:color w:val="000000"/>
                <w:sz w:val="20"/>
              </w:rPr>
              <w:t>$600</w:t>
            </w:r>
          </w:p>
        </w:tc>
        <w:tc>
          <w:tcPr>
            <w:tcW w:type="dxa" w:w="2340"/>
          </w:tcPr>
          <w:p>
            <w:pPr>
              <w:spacing w:line="240" w:lineRule="auto" w:before="40" w:after="40"/>
            </w:pPr>
            <w:r>
              <w:rPr>
                <w:color w:val="000000"/>
                <w:sz w:val="20"/>
              </w:rPr>
            </w:r>
            <w:r>
              <w:rPr>
                <w:rFonts w:ascii="Arial" w:hAnsi="Arial" w:eastAsia="Arial" w:cs="Arial"/>
                <w:color w:val="000000"/>
                <w:sz w:val="20"/>
              </w:rPr>
              <w:t>$900</w:t>
            </w:r>
          </w:p>
        </w:tc>
        <w:tc>
          <w:tcPr>
            <w:tcW w:type="dxa" w:w="2340"/>
          </w:tcPr>
          <w:p>
            <w:pPr>
              <w:spacing w:line="240" w:lineRule="auto" w:before="40" w:after="40"/>
            </w:pPr>
            <w:r>
              <w:rPr>
                <w:color w:val="000000"/>
                <w:sz w:val="20"/>
              </w:rPr>
            </w:r>
            <w:r>
              <w:rPr>
                <w:rFonts w:ascii="Arial" w:hAnsi="Arial" w:eastAsia="Arial" w:cs="Arial"/>
                <w:color w:val="000000"/>
                <w:sz w:val="20"/>
              </w:rPr>
              <w:t>$900</w:t>
            </w:r>
          </w:p>
        </w:tc>
      </w:tr>
      <w:tr>
        <w:tc>
          <w:tcPr>
            <w:tcW w:type="dxa" w:w="2340"/>
          </w:tcPr>
          <w:p>
            <w:pPr>
              <w:spacing w:line="240" w:lineRule="auto" w:before="40" w:after="40"/>
            </w:pPr>
            <w:r>
              <w:rPr>
                <w:color w:val="000000"/>
                <w:sz w:val="20"/>
              </w:rPr>
            </w:r>
            <w:r>
              <w:rPr>
                <w:rFonts w:ascii="Arial" w:hAnsi="Arial" w:eastAsia="Arial" w:cs="Arial"/>
                <w:color w:val="000000"/>
                <w:sz w:val="20"/>
              </w:rPr>
              <w:t>Going out, gym, subscriptions</w:t>
            </w:r>
          </w:p>
        </w:tc>
        <w:tc>
          <w:tcPr>
            <w:tcW w:type="dxa" w:w="2340"/>
          </w:tcPr>
          <w:p>
            <w:pPr>
              <w:spacing w:line="240" w:lineRule="auto" w:before="40" w:after="40"/>
            </w:pPr>
            <w:r>
              <w:rPr>
                <w:color w:val="000000"/>
                <w:sz w:val="20"/>
              </w:rPr>
            </w:r>
            <w:r>
              <w:rPr>
                <w:rFonts w:ascii="Arial" w:hAnsi="Arial" w:eastAsia="Arial" w:cs="Arial"/>
                <w:color w:val="000000"/>
                <w:sz w:val="20"/>
              </w:rPr>
              <w:t>$400</w:t>
            </w:r>
          </w:p>
        </w:tc>
        <w:tc>
          <w:tcPr>
            <w:tcW w:type="dxa" w:w="2340"/>
          </w:tcPr>
          <w:p>
            <w:pPr>
              <w:spacing w:line="240" w:lineRule="auto" w:before="40" w:after="40"/>
            </w:pPr>
            <w:r>
              <w:rPr>
                <w:color w:val="000000"/>
                <w:sz w:val="20"/>
              </w:rPr>
            </w:r>
            <w:r>
              <w:rPr>
                <w:rFonts w:ascii="Arial" w:hAnsi="Arial" w:eastAsia="Arial" w:cs="Arial"/>
                <w:color w:val="000000"/>
                <w:sz w:val="20"/>
              </w:rPr>
              <w:t>$1,000</w:t>
            </w:r>
          </w:p>
        </w:tc>
        <w:tc>
          <w:tcPr>
            <w:tcW w:type="dxa" w:w="2340"/>
          </w:tcPr>
          <w:p>
            <w:pPr>
              <w:spacing w:line="240" w:lineRule="auto" w:before="40" w:after="40"/>
            </w:pPr>
            <w:r>
              <w:rPr>
                <w:color w:val="000000"/>
                <w:sz w:val="20"/>
              </w:rPr>
            </w:r>
            <w:r>
              <w:rPr>
                <w:rFonts w:ascii="Arial" w:hAnsi="Arial" w:eastAsia="Arial" w:cs="Arial"/>
                <w:color w:val="000000"/>
                <w:sz w:val="20"/>
              </w:rPr>
              <w:t>$1,000</w:t>
            </w:r>
          </w:p>
        </w:tc>
      </w:tr>
      <w:tr>
        <w:tc>
          <w:tcPr>
            <w:tcW w:type="dxa" w:w="2340"/>
          </w:tcPr>
          <w:p>
            <w:pPr>
              <w:spacing w:line="240" w:lineRule="auto" w:before="40" w:after="40"/>
            </w:pPr>
            <w:r>
              <w:rPr>
                <w:color w:val="000000"/>
                <w:sz w:val="20"/>
              </w:rPr>
            </w:r>
            <w:r>
              <w:rPr>
                <w:rFonts w:ascii="Arial" w:hAnsi="Arial" w:eastAsia="Arial" w:cs="Arial"/>
                <w:color w:val="000000"/>
                <w:sz w:val="20"/>
              </w:rPr>
              <w:t>Renter's insurance, laundry, household</w:t>
            </w:r>
          </w:p>
        </w:tc>
        <w:tc>
          <w:tcPr>
            <w:tcW w:type="dxa" w:w="2340"/>
          </w:tcPr>
          <w:p>
            <w:pPr>
              <w:spacing w:line="240" w:lineRule="auto" w:before="40" w:after="40"/>
            </w:pPr>
            <w:r>
              <w:rPr>
                <w:color w:val="000000"/>
                <w:sz w:val="20"/>
              </w:rPr>
            </w:r>
            <w:r>
              <w:rPr>
                <w:rFonts w:ascii="Arial" w:hAnsi="Arial" w:eastAsia="Arial" w:cs="Arial"/>
                <w:color w:val="000000"/>
                <w:sz w:val="20"/>
              </w:rPr>
              <w:t>$100</w:t>
            </w:r>
          </w:p>
        </w:tc>
        <w:tc>
          <w:tcPr>
            <w:tcW w:type="dxa" w:w="2340"/>
          </w:tcPr>
          <w:p>
            <w:pPr>
              <w:spacing w:line="240" w:lineRule="auto" w:before="40" w:after="40"/>
            </w:pPr>
            <w:r>
              <w:rPr>
                <w:color w:val="000000"/>
                <w:sz w:val="20"/>
              </w:rPr>
            </w:r>
            <w:r>
              <w:rPr>
                <w:rFonts w:ascii="Arial" w:hAnsi="Arial" w:eastAsia="Arial" w:cs="Arial"/>
                <w:color w:val="000000"/>
                <w:sz w:val="20"/>
              </w:rPr>
              <w:t>$100</w:t>
            </w:r>
          </w:p>
        </w:tc>
        <w:tc>
          <w:tcPr>
            <w:tcW w:type="dxa" w:w="2340"/>
          </w:tcPr>
          <w:p>
            <w:pPr>
              <w:spacing w:line="240" w:lineRule="auto" w:before="40" w:after="40"/>
            </w:pPr>
            <w:r>
              <w:rPr>
                <w:color w:val="000000"/>
                <w:sz w:val="20"/>
              </w:rPr>
            </w:r>
            <w:r>
              <w:rPr>
                <w:rFonts w:ascii="Arial" w:hAnsi="Arial" w:eastAsia="Arial" w:cs="Arial"/>
                <w:color w:val="000000"/>
                <w:sz w:val="20"/>
              </w:rPr>
              <w:t>$100</w:t>
            </w:r>
          </w:p>
        </w:tc>
      </w:tr>
      <w:tr>
        <w:tc>
          <w:tcPr>
            <w:tcW w:type="dxa" w:w="2340"/>
          </w:tcPr>
          <w:p>
            <w:pPr>
              <w:spacing w:line="240" w:lineRule="auto" w:before="40" w:after="40"/>
            </w:pPr>
            <w:r>
              <w:rPr>
                <w:color w:val="000000"/>
                <w:sz w:val="20"/>
              </w:rPr>
            </w:r>
            <w:r>
              <w:rPr>
                <w:rFonts w:ascii="Arial" w:hAnsi="Arial" w:eastAsia="Arial" w:cs="Arial"/>
                <w:color w:val="000000"/>
                <w:sz w:val="20"/>
              </w:rPr>
              <w:t>Flights home, gifts, clothes (averaged)</w:t>
            </w:r>
          </w:p>
        </w:tc>
        <w:tc>
          <w:tcPr>
            <w:tcW w:type="dxa" w:w="2340"/>
          </w:tcPr>
          <w:p>
            <w:pPr>
              <w:spacing w:line="240" w:lineRule="auto" w:before="40" w:after="40"/>
            </w:pPr>
            <w:r>
              <w:rPr>
                <w:color w:val="000000"/>
                <w:sz w:val="20"/>
              </w:rPr>
            </w:r>
            <w:r>
              <w:rPr>
                <w:rFonts w:ascii="Arial" w:hAnsi="Arial" w:eastAsia="Arial" w:cs="Arial"/>
                <w:color w:val="000000"/>
                <w:sz w:val="20"/>
              </w:rPr>
              <w:t>$250</w:t>
            </w:r>
          </w:p>
        </w:tc>
        <w:tc>
          <w:tcPr>
            <w:tcW w:type="dxa" w:w="2340"/>
          </w:tcPr>
          <w:p>
            <w:pPr>
              <w:spacing w:line="240" w:lineRule="auto" w:before="40" w:after="40"/>
            </w:pPr>
            <w:r>
              <w:rPr>
                <w:color w:val="000000"/>
                <w:sz w:val="20"/>
              </w:rPr>
            </w:r>
            <w:r>
              <w:rPr>
                <w:rFonts w:ascii="Arial" w:hAnsi="Arial" w:eastAsia="Arial" w:cs="Arial"/>
                <w:color w:val="000000"/>
                <w:sz w:val="20"/>
              </w:rPr>
              <w:t>$400</w:t>
            </w:r>
          </w:p>
        </w:tc>
        <w:tc>
          <w:tcPr>
            <w:tcW w:type="dxa" w:w="2340"/>
          </w:tcPr>
          <w:p>
            <w:pPr>
              <w:spacing w:line="240" w:lineRule="auto" w:before="40" w:after="40"/>
            </w:pPr>
            <w:r>
              <w:rPr>
                <w:color w:val="000000"/>
                <w:sz w:val="20"/>
              </w:rPr>
            </w:r>
            <w:r>
              <w:rPr>
                <w:rFonts w:ascii="Arial" w:hAnsi="Arial" w:eastAsia="Arial" w:cs="Arial"/>
                <w:color w:val="000000"/>
                <w:sz w:val="20"/>
              </w:rPr>
              <w:t>$400</w:t>
            </w:r>
          </w:p>
        </w:tc>
      </w:tr>
      <w:tr>
        <w:tc>
          <w:tcPr>
            <w:tcW w:type="dxa" w:w="2340"/>
          </w:tcPr>
          <w:p>
            <w:pPr>
              <w:spacing w:line="240" w:lineRule="auto" w:before="40" w:after="40"/>
            </w:pPr>
            <w:r>
              <w:rPr>
                <w:color w:val="000000"/>
                <w:sz w:val="20"/>
              </w:rPr>
            </w:r>
            <w:r>
              <w:rPr>
                <w:rFonts w:ascii="Arial" w:hAnsi="Arial" w:eastAsia="Arial" w:cs="Arial"/>
                <w:color w:val="000000"/>
                <w:sz w:val="20"/>
              </w:rPr>
              <w:t>Total spending</w:t>
            </w:r>
          </w:p>
        </w:tc>
        <w:tc>
          <w:tcPr>
            <w:tcW w:type="dxa" w:w="2340"/>
          </w:tcPr>
          <w:p>
            <w:pPr>
              <w:spacing w:line="240" w:lineRule="auto" w:before="40" w:after="40"/>
            </w:pPr>
            <w:r>
              <w:rPr>
                <w:color w:val="000000"/>
                <w:sz w:val="20"/>
              </w:rPr>
            </w:r>
            <w:r>
              <w:rPr>
                <w:rFonts w:ascii="Arial" w:hAnsi="Arial" w:eastAsia="Arial" w:cs="Arial"/>
                <w:color w:val="000000"/>
                <w:sz w:val="20"/>
              </w:rPr>
              <w:t>$4,202</w:t>
            </w:r>
          </w:p>
        </w:tc>
        <w:tc>
          <w:tcPr>
            <w:tcW w:type="dxa" w:w="2340"/>
          </w:tcPr>
          <w:p>
            <w:pPr>
              <w:spacing w:line="240" w:lineRule="auto" w:before="40" w:after="40"/>
            </w:pPr>
            <w:r>
              <w:rPr>
                <w:color w:val="000000"/>
                <w:sz w:val="20"/>
              </w:rPr>
            </w:r>
            <w:r>
              <w:rPr>
                <w:rFonts w:ascii="Arial" w:hAnsi="Arial" w:eastAsia="Arial" w:cs="Arial"/>
                <w:color w:val="000000"/>
                <w:sz w:val="20"/>
              </w:rPr>
              <w:t>$5,252</w:t>
            </w:r>
          </w:p>
        </w:tc>
        <w:tc>
          <w:tcPr>
            <w:tcW w:type="dxa" w:w="2340"/>
          </w:tcPr>
          <w:p>
            <w:pPr>
              <w:spacing w:line="240" w:lineRule="auto" w:before="40" w:after="40"/>
            </w:pPr>
            <w:r>
              <w:rPr>
                <w:color w:val="000000"/>
                <w:sz w:val="20"/>
              </w:rPr>
            </w:r>
            <w:r>
              <w:rPr>
                <w:rFonts w:ascii="Arial" w:hAnsi="Arial" w:eastAsia="Arial" w:cs="Arial"/>
                <w:color w:val="000000"/>
                <w:sz w:val="20"/>
              </w:rPr>
              <w:t>$6,602</w:t>
            </w:r>
          </w:p>
        </w:tc>
      </w:tr>
      <w:tr>
        <w:tc>
          <w:tcPr>
            <w:tcW w:type="dxa" w:w="2340"/>
          </w:tcPr>
          <w:p>
            <w:pPr>
              <w:spacing w:line="240" w:lineRule="auto" w:before="40" w:after="40"/>
            </w:pPr>
            <w:r>
              <w:rPr>
                <w:color w:val="000000"/>
                <w:sz w:val="20"/>
              </w:rPr>
            </w:r>
            <w:r>
              <w:rPr>
                <w:rFonts w:ascii="Arial" w:hAnsi="Arial" w:eastAsia="Arial" w:cs="Arial"/>
                <w:color w:val="000000"/>
                <w:sz w:val="20"/>
              </w:rPr>
              <w:t>Left over each month</w:t>
            </w:r>
          </w:p>
        </w:tc>
        <w:tc>
          <w:tcPr>
            <w:tcW w:type="dxa" w:w="2340"/>
          </w:tcPr>
          <w:p>
            <w:pPr>
              <w:spacing w:line="240" w:lineRule="auto" w:before="40" w:after="40"/>
            </w:pPr>
            <w:r>
              <w:rPr>
                <w:color w:val="000000"/>
                <w:sz w:val="20"/>
              </w:rPr>
            </w:r>
            <w:r>
              <w:rPr>
                <w:rFonts w:ascii="Arial" w:hAnsi="Arial" w:eastAsia="Arial" w:cs="Arial"/>
                <w:color w:val="000000"/>
                <w:sz w:val="20"/>
              </w:rPr>
              <w:t>$5,912</w:t>
            </w:r>
          </w:p>
        </w:tc>
        <w:tc>
          <w:tcPr>
            <w:tcW w:type="dxa" w:w="2340"/>
          </w:tcPr>
          <w:p>
            <w:pPr>
              <w:spacing w:line="240" w:lineRule="auto" w:before="40" w:after="40"/>
            </w:pPr>
            <w:r>
              <w:rPr>
                <w:color w:val="000000"/>
                <w:sz w:val="20"/>
              </w:rPr>
            </w:r>
            <w:r>
              <w:rPr>
                <w:rFonts w:ascii="Arial" w:hAnsi="Arial" w:eastAsia="Arial" w:cs="Arial"/>
                <w:color w:val="000000"/>
                <w:sz w:val="20"/>
              </w:rPr>
              <w:t>$4,862</w:t>
            </w:r>
          </w:p>
        </w:tc>
        <w:tc>
          <w:tcPr>
            <w:tcW w:type="dxa" w:w="2340"/>
          </w:tcPr>
          <w:p>
            <w:pPr>
              <w:spacing w:line="240" w:lineRule="auto" w:before="40" w:after="40"/>
            </w:pPr>
            <w:r>
              <w:rPr>
                <w:color w:val="000000"/>
                <w:sz w:val="20"/>
              </w:rPr>
            </w:r>
            <w:r>
              <w:rPr>
                <w:rFonts w:ascii="Arial" w:hAnsi="Arial" w:eastAsia="Arial" w:cs="Arial"/>
                <w:color w:val="000000"/>
                <w:sz w:val="20"/>
              </w:rPr>
              <w:t>$3,512</w:t>
            </w:r>
          </w:p>
        </w:tc>
      </w:tr>
      <w:tr>
        <w:tc>
          <w:tcPr>
            <w:tcW w:type="dxa" w:w="2340"/>
          </w:tcPr>
          <w:p>
            <w:pPr>
              <w:spacing w:line="240" w:lineRule="auto" w:before="40" w:after="40"/>
            </w:pPr>
            <w:r>
              <w:rPr>
                <w:color w:val="000000"/>
                <w:sz w:val="20"/>
              </w:rPr>
            </w:r>
            <w:r>
              <w:rPr>
                <w:rFonts w:ascii="Arial" w:hAnsi="Arial" w:eastAsia="Arial" w:cs="Arial"/>
                <w:color w:val="000000"/>
                <w:sz w:val="20"/>
              </w:rPr>
              <w:t>Savings rate on take-home (cash only)</w:t>
            </w:r>
          </w:p>
        </w:tc>
        <w:tc>
          <w:tcPr>
            <w:tcW w:type="dxa" w:w="2340"/>
          </w:tcPr>
          <w:p>
            <w:pPr>
              <w:spacing w:line="240" w:lineRule="auto" w:before="40" w:after="40"/>
            </w:pPr>
            <w:r>
              <w:rPr>
                <w:color w:val="000000"/>
                <w:sz w:val="20"/>
              </w:rPr>
            </w:r>
            <w:r>
              <w:rPr>
                <w:rFonts w:ascii="Arial" w:hAnsi="Arial" w:eastAsia="Arial" w:cs="Arial"/>
                <w:color w:val="000000"/>
                <w:sz w:val="20"/>
              </w:rPr>
              <w:t>58.5%</w:t>
            </w:r>
          </w:p>
        </w:tc>
        <w:tc>
          <w:tcPr>
            <w:tcW w:type="dxa" w:w="2340"/>
          </w:tcPr>
          <w:p>
            <w:pPr>
              <w:spacing w:line="240" w:lineRule="auto" w:before="40" w:after="40"/>
            </w:pPr>
            <w:r>
              <w:rPr>
                <w:color w:val="000000"/>
                <w:sz w:val="20"/>
              </w:rPr>
            </w:r>
            <w:r>
              <w:rPr>
                <w:rFonts w:ascii="Arial" w:hAnsi="Arial" w:eastAsia="Arial" w:cs="Arial"/>
                <w:color w:val="000000"/>
                <w:sz w:val="20"/>
              </w:rPr>
              <w:t>48.1%</w:t>
            </w:r>
          </w:p>
        </w:tc>
        <w:tc>
          <w:tcPr>
            <w:tcW w:type="dxa" w:w="2340"/>
          </w:tcPr>
          <w:p>
            <w:pPr>
              <w:spacing w:line="240" w:lineRule="auto" w:before="40" w:after="40"/>
            </w:pPr>
            <w:r>
              <w:rPr>
                <w:color w:val="000000"/>
                <w:sz w:val="20"/>
              </w:rPr>
            </w:r>
            <w:r>
              <w:rPr>
                <w:rFonts w:ascii="Arial" w:hAnsi="Arial" w:eastAsia="Arial" w:cs="Arial"/>
                <w:color w:val="000000"/>
                <w:sz w:val="20"/>
              </w:rPr>
              <w:t>34.7%</w:t>
            </w:r>
          </w:p>
        </w:tc>
      </w:tr>
      <w:tr>
        <w:tc>
          <w:tcPr>
            <w:tcW w:type="dxa" w:w="2340"/>
          </w:tcPr>
          <w:p>
            <w:pPr>
              <w:spacing w:line="240" w:lineRule="auto" w:before="40" w:after="40"/>
            </w:pPr>
            <w:r>
              <w:rPr>
                <w:color w:val="000000"/>
                <w:sz w:val="20"/>
              </w:rPr>
            </w:r>
            <w:r>
              <w:rPr>
                <w:rFonts w:ascii="Arial" w:hAnsi="Arial" w:eastAsia="Arial" w:cs="Arial"/>
                <w:color w:val="000000"/>
                <w:sz w:val="20"/>
              </w:rPr>
              <w:t>Savings rate counting the $1,000 a month 401(k) deferral</w:t>
            </w:r>
          </w:p>
        </w:tc>
        <w:tc>
          <w:tcPr>
            <w:tcW w:type="dxa" w:w="2340"/>
          </w:tcPr>
          <w:p>
            <w:pPr>
              <w:spacing w:line="240" w:lineRule="auto" w:before="40" w:after="40"/>
            </w:pPr>
            <w:r>
              <w:rPr>
                <w:color w:val="000000"/>
                <w:sz w:val="20"/>
              </w:rPr>
            </w:r>
            <w:r>
              <w:rPr>
                <w:rFonts w:ascii="Arial" w:hAnsi="Arial" w:eastAsia="Arial" w:cs="Arial"/>
                <w:color w:val="000000"/>
                <w:sz w:val="20"/>
              </w:rPr>
              <w:t>62.2%</w:t>
            </w:r>
          </w:p>
        </w:tc>
        <w:tc>
          <w:tcPr>
            <w:tcW w:type="dxa" w:w="2340"/>
          </w:tcPr>
          <w:p>
            <w:pPr>
              <w:spacing w:line="240" w:lineRule="auto" w:before="40" w:after="40"/>
            </w:pPr>
            <w:r>
              <w:rPr>
                <w:color w:val="000000"/>
                <w:sz w:val="20"/>
              </w:rPr>
            </w:r>
            <w:r>
              <w:rPr>
                <w:rFonts w:ascii="Arial" w:hAnsi="Arial" w:eastAsia="Arial" w:cs="Arial"/>
                <w:color w:val="000000"/>
                <w:sz w:val="20"/>
              </w:rPr>
              <w:t>52.7%</w:t>
            </w:r>
          </w:p>
        </w:tc>
        <w:tc>
          <w:tcPr>
            <w:tcW w:type="dxa" w:w="2340"/>
          </w:tcPr>
          <w:p>
            <w:pPr>
              <w:spacing w:line="240" w:lineRule="auto" w:before="40" w:after="40"/>
            </w:pPr>
            <w:r>
              <w:rPr>
                <w:color w:val="000000"/>
                <w:sz w:val="20"/>
              </w:rPr>
            </w:r>
            <w:r>
              <w:rPr>
                <w:rFonts w:ascii="Arial" w:hAnsi="Arial" w:eastAsia="Arial" w:cs="Arial"/>
                <w:color w:val="000000"/>
                <w:sz w:val="20"/>
              </w:rPr>
              <w:t>40.6%</w:t>
            </w:r>
          </w:p>
        </w:tc>
      </w:tr>
      <w:tr>
        <w:tc>
          <w:tcPr>
            <w:tcW w:type="dxa" w:w="2340"/>
          </w:tcPr>
          <w:p>
            <w:pPr>
              <w:spacing w:line="240" w:lineRule="auto" w:before="40" w:after="40"/>
            </w:pPr>
            <w:r>
              <w:rPr>
                <w:color w:val="000000"/>
                <w:sz w:val="20"/>
              </w:rPr>
            </w:r>
            <w:r>
              <w:rPr>
                <w:rFonts w:ascii="Arial" w:hAnsi="Arial" w:eastAsia="Arial" w:cs="Arial"/>
                <w:color w:val="000000"/>
                <w:sz w:val="20"/>
              </w:rPr>
              <w:t>Saved in a year (cash only)</w:t>
            </w:r>
          </w:p>
        </w:tc>
        <w:tc>
          <w:tcPr>
            <w:tcW w:type="dxa" w:w="2340"/>
          </w:tcPr>
          <w:p>
            <w:pPr>
              <w:spacing w:line="240" w:lineRule="auto" w:before="40" w:after="40"/>
            </w:pPr>
            <w:r>
              <w:rPr>
                <w:color w:val="000000"/>
                <w:sz w:val="20"/>
              </w:rPr>
            </w:r>
            <w:r>
              <w:rPr>
                <w:rFonts w:ascii="Arial" w:hAnsi="Arial" w:eastAsia="Arial" w:cs="Arial"/>
                <w:color w:val="000000"/>
                <w:sz w:val="20"/>
              </w:rPr>
              <w:t>$70,939</w:t>
            </w:r>
          </w:p>
        </w:tc>
        <w:tc>
          <w:tcPr>
            <w:tcW w:type="dxa" w:w="2340"/>
          </w:tcPr>
          <w:p>
            <w:pPr>
              <w:spacing w:line="240" w:lineRule="auto" w:before="40" w:after="40"/>
            </w:pPr>
            <w:r>
              <w:rPr>
                <w:color w:val="000000"/>
                <w:sz w:val="20"/>
              </w:rPr>
            </w:r>
            <w:r>
              <w:rPr>
                <w:rFonts w:ascii="Arial" w:hAnsi="Arial" w:eastAsia="Arial" w:cs="Arial"/>
                <w:color w:val="000000"/>
                <w:sz w:val="20"/>
              </w:rPr>
              <w:t>$58,339</w:t>
            </w:r>
          </w:p>
        </w:tc>
        <w:tc>
          <w:tcPr>
            <w:tcW w:type="dxa" w:w="2340"/>
          </w:tcPr>
          <w:p>
            <w:pPr>
              <w:spacing w:line="240" w:lineRule="auto" w:before="40" w:after="40"/>
            </w:pPr>
            <w:r>
              <w:rPr>
                <w:color w:val="000000"/>
                <w:sz w:val="20"/>
              </w:rPr>
            </w:r>
            <w:r>
              <w:rPr>
                <w:rFonts w:ascii="Arial" w:hAnsi="Arial" w:eastAsia="Arial" w:cs="Arial"/>
                <w:color w:val="000000"/>
                <w:sz w:val="20"/>
              </w:rPr>
              <w:t>$42,139</w:t>
            </w:r>
          </w:p>
        </w:tc>
      </w:tr>
    </w:tbl>
    <w:p>
      <w:pPr/>
    </w:p>
    <w:p>
      <w:pPr>
        <w:spacing w:line="240" w:lineRule="auto"/>
        <w:jc w:val="center"/>
      </w:pPr>
      <w:r>
        <w:drawing>
          <wp:inline xmlns:a="http://schemas.openxmlformats.org/drawingml/2006/main" xmlns:pic="http://schemas.openxmlformats.org/drawingml/2006/picture">
            <wp:extent cx="5943600" cy="4220910"/>
            <wp:docPr id="7" name="Picture 7"/>
            <wp:cNvGraphicFramePr>
              <a:graphicFrameLocks noChangeAspect="1"/>
            </wp:cNvGraphicFramePr>
            <a:graphic>
              <a:graphicData uri="http://schemas.openxmlformats.org/drawingml/2006/picture">
                <pic:pic>
                  <pic:nvPicPr>
                    <pic:cNvPr id="0" name="08-monthly-budget-three-ways.png"/>
                    <pic:cNvPicPr/>
                  </pic:nvPicPr>
                  <pic:blipFill>
                    <a:blip r:embed="rId17"/>
                    <a:stretch>
                      <a:fillRect/>
                    </a:stretch>
                  </pic:blipFill>
                  <pic:spPr>
                    <a:xfrm>
                      <a:off x="0" y="0"/>
                      <a:ext cx="5943600" cy="4220910"/>
                    </a:xfrm>
                    <a:prstGeom prst="rect"/>
                  </pic:spPr>
                </pic:pic>
              </a:graphicData>
            </a:graphic>
          </wp:inline>
        </w:drawing>
      </w:r>
    </w:p>
    <w:p>
      <w:pPr>
        <w:jc w:val="center"/>
      </w:pPr>
      <w:r>
        <w:rPr>
          <w:rFonts w:ascii="Arial" w:hAnsi="Arial" w:eastAsia="Arial" w:cs="Arial"/>
          <w:i/>
          <w:sz w:val="20"/>
        </w:rPr>
        <w:t>Rent is the only line that moves the savings number by more than a few hundred dollars, and switching from a shared apartment to a studio costs $1,350 a month of it.</w:t>
      </w:r>
    </w:p>
    <w:p>
      <w:pPr/>
    </w:p>
    <w:p>
      <w:pPr/>
      <w:r>
        <w:rPr>
          <w:rFonts w:ascii="Arial" w:hAnsi="Arial" w:eastAsia="Arial" w:cs="Arial"/>
        </w:rPr>
        <w:t>[VERIFY: rent and transit inputs as above; the other lines are budgeting assumptions, not sourced figures; take-home from section 5, script-checked]</w:t>
      </w:r>
    </w:p>
    <w:p>
      <w:pPr/>
    </w:p>
    <w:p>
      <w:pPr/>
      <w:r>
        <w:rPr>
          <w:rFonts w:ascii="Arial" w:hAnsi="Arial" w:eastAsia="Arial" w:cs="Arial"/>
          <w:b/>
        </w:rPr>
        <w:t>A first-year analyst in New York who shares an apartment can realistically put away $4,000 to $6,000 a month on top of the 401(k), and choosing a studio over a share cuts that by $1,350 a month.</w:t>
      </w:r>
      <w:r>
        <w:rPr>
          <w:rFonts w:ascii="Arial" w:hAnsi="Arial" w:eastAsia="Arial" w:cs="Arial"/>
        </w:rPr>
        <w:t xml:space="preserve"> Rent is 24.7 percent of take-home in the shared case and 37.6 percent in the studio case.</w:t>
      </w:r>
    </w:p>
    <w:p>
      <w:pPr/>
    </w:p>
    <w:p>
      <w:pPr/>
      <w:r>
        <w:rPr>
          <w:rFonts w:ascii="Arial" w:hAnsi="Arial" w:eastAsia="Arial" w:cs="Arial"/>
        </w:rPr>
        <w:t>Two cautions on reading the table. First, the monthly take-home figure assumes the bonus is spread across the year, and it isn't; for the first twelve months you're living on the base, which after taxes, the 401(k) and the health premium is about $2,950 a paycheck on a $120,000 base, so the first year's savings come in two lumps, not twelve. Second, the typical column is typical for a reason. Most first-years don't save 58 percent, and the ones who save 48 percent are already doing better than almost everyone they graduated with. The point of the table is that the savings rate is a choice about rent and nights out, not about the salary.</w:t>
      </w:r>
    </w:p>
    <w:p>
      <w:pPr/>
    </w:p>
    <w:p>
      <w:pPr>
        <w:pStyle w:val="Heading2"/>
      </w:pPr>
      <w:r>
        <w:rPr>
          <w:rFonts w:ascii="Arial" w:hAnsi="Arial" w:eastAsia="Arial" w:cs="Arial"/>
        </w:rPr>
        <w:t>9. Take-home rises about $20,000 a year through the analyst years, and the associate jump is smaller after tax than before it</w:t>
      </w:r>
    </w:p>
    <w:p>
      <w:pPr/>
      <w:r>
        <w:rPr>
          <w:rFonts w:ascii="Arial" w:hAnsi="Arial" w:eastAsia="Arial" w:cs="Arial"/>
        </w:rPr>
        <w:t>The analyst scale steps up every year, and the bonus range widens with it. Here's a bulge bracket analyst who lands in the middle-to-upper bucket each year, then takes the direct promotion to associate.</w:t>
      </w:r>
    </w:p>
    <w:p>
      <w:pP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before="40" w:after="40"/>
            </w:pPr>
            <w:r>
              <w:rPr>
                <w:color w:val="000000"/>
                <w:sz w:val="20"/>
              </w:rPr>
            </w:r>
            <w:r>
              <w:rPr>
                <w:rFonts w:ascii="Arial" w:hAnsi="Arial" w:eastAsia="Arial" w:cs="Arial"/>
                <w:b/>
                <w:color w:val="000000"/>
                <w:sz w:val="20"/>
              </w:rPr>
              <w:t>Year</w:t>
            </w:r>
          </w:p>
        </w:tc>
        <w:tc>
          <w:tcPr>
            <w:tcW w:type="dxa" w:w="1170"/>
          </w:tcPr>
          <w:p>
            <w:pPr>
              <w:spacing w:line="240" w:lineRule="auto" w:before="40" w:after="40"/>
            </w:pPr>
            <w:r>
              <w:rPr>
                <w:color w:val="000000"/>
                <w:sz w:val="20"/>
              </w:rPr>
            </w:r>
            <w:r>
              <w:rPr>
                <w:rFonts w:ascii="Arial" w:hAnsi="Arial" w:eastAsia="Arial" w:cs="Arial"/>
                <w:b/>
                <w:color w:val="000000"/>
                <w:sz w:val="20"/>
              </w:rPr>
              <w:t>Base</w:t>
            </w:r>
          </w:p>
        </w:tc>
        <w:tc>
          <w:tcPr>
            <w:tcW w:type="dxa" w:w="1170"/>
          </w:tcPr>
          <w:p>
            <w:pPr>
              <w:spacing w:line="240" w:lineRule="auto" w:before="40" w:after="40"/>
            </w:pPr>
            <w:r>
              <w:rPr>
                <w:color w:val="000000"/>
                <w:sz w:val="20"/>
              </w:rPr>
            </w:r>
            <w:r>
              <w:rPr>
                <w:rFonts w:ascii="Arial" w:hAnsi="Arial" w:eastAsia="Arial" w:cs="Arial"/>
                <w:b/>
                <w:color w:val="000000"/>
                <w:sz w:val="20"/>
              </w:rPr>
              <w:t>Bonus</w:t>
            </w:r>
          </w:p>
        </w:tc>
        <w:tc>
          <w:tcPr>
            <w:tcW w:type="dxa" w:w="1170"/>
          </w:tcPr>
          <w:p>
            <w:pPr>
              <w:spacing w:line="240" w:lineRule="auto" w:before="40" w:after="40"/>
            </w:pPr>
            <w:r>
              <w:rPr>
                <w:color w:val="000000"/>
                <w:sz w:val="20"/>
              </w:rPr>
            </w:r>
            <w:r>
              <w:rPr>
                <w:rFonts w:ascii="Arial" w:hAnsi="Arial" w:eastAsia="Arial" w:cs="Arial"/>
                <w:b/>
                <w:color w:val="000000"/>
                <w:sz w:val="20"/>
              </w:rPr>
              <w:t>All-in</w:t>
            </w:r>
          </w:p>
        </w:tc>
        <w:tc>
          <w:tcPr>
            <w:tcW w:type="dxa" w:w="1170"/>
          </w:tcPr>
          <w:p>
            <w:pPr>
              <w:spacing w:line="240" w:lineRule="auto" w:before="40" w:after="40"/>
            </w:pPr>
            <w:r>
              <w:rPr>
                <w:color w:val="000000"/>
                <w:sz w:val="20"/>
              </w:rPr>
            </w:r>
            <w:r>
              <w:rPr>
                <w:rFonts w:ascii="Arial" w:hAnsi="Arial" w:eastAsia="Arial" w:cs="Arial"/>
                <w:b/>
                <w:color w:val="000000"/>
                <w:sz w:val="20"/>
              </w:rPr>
              <w:t>Total taxes</w:t>
            </w:r>
          </w:p>
        </w:tc>
        <w:tc>
          <w:tcPr>
            <w:tcW w:type="dxa" w:w="1170"/>
          </w:tcPr>
          <w:p>
            <w:pPr>
              <w:spacing w:line="240" w:lineRule="auto" w:before="40" w:after="40"/>
            </w:pPr>
            <w:r>
              <w:rPr>
                <w:color w:val="000000"/>
                <w:sz w:val="20"/>
              </w:rPr>
            </w:r>
            <w:r>
              <w:rPr>
                <w:rFonts w:ascii="Arial" w:hAnsi="Arial" w:eastAsia="Arial" w:cs="Arial"/>
                <w:b/>
                <w:color w:val="000000"/>
                <w:sz w:val="20"/>
              </w:rPr>
              <w:t>Take-home</w:t>
            </w:r>
          </w:p>
        </w:tc>
        <w:tc>
          <w:tcPr>
            <w:tcW w:type="dxa" w:w="1170"/>
          </w:tcPr>
          <w:p>
            <w:pPr>
              <w:spacing w:line="240" w:lineRule="auto" w:before="40" w:after="40"/>
            </w:pPr>
            <w:r>
              <w:rPr>
                <w:color w:val="000000"/>
                <w:sz w:val="20"/>
              </w:rPr>
            </w:r>
            <w:r>
              <w:rPr>
                <w:rFonts w:ascii="Arial" w:hAnsi="Arial" w:eastAsia="Arial" w:cs="Arial"/>
                <w:b/>
                <w:color w:val="000000"/>
                <w:sz w:val="20"/>
              </w:rPr>
              <w:t>Effective rate</w:t>
            </w:r>
          </w:p>
        </w:tc>
        <w:tc>
          <w:tcPr>
            <w:tcW w:type="dxa" w:w="1170"/>
          </w:tcPr>
          <w:p>
            <w:pPr>
              <w:spacing w:line="240" w:lineRule="auto" w:before="40" w:after="40"/>
            </w:pPr>
            <w:r>
              <w:rPr>
                <w:color w:val="000000"/>
                <w:sz w:val="20"/>
              </w:rPr>
            </w:r>
            <w:r>
              <w:rPr>
                <w:rFonts w:ascii="Arial" w:hAnsi="Arial" w:eastAsia="Arial" w:cs="Arial"/>
                <w:b/>
                <w:color w:val="000000"/>
                <w:sz w:val="20"/>
              </w:rPr>
              <w:t>Take-home step up</w:t>
            </w:r>
          </w:p>
        </w:tc>
      </w:tr>
      <w:tr>
        <w:tc>
          <w:tcPr>
            <w:tcW w:type="dxa" w:w="1170"/>
          </w:tcPr>
          <w:p>
            <w:pPr>
              <w:spacing w:line="240" w:lineRule="auto" w:before="40" w:after="40"/>
            </w:pPr>
            <w:r>
              <w:rPr>
                <w:color w:val="000000"/>
                <w:sz w:val="20"/>
              </w:rPr>
            </w:r>
            <w:r>
              <w:rPr>
                <w:rFonts w:ascii="Arial" w:hAnsi="Arial" w:eastAsia="Arial" w:cs="Arial"/>
                <w:color w:val="000000"/>
                <w:sz w:val="20"/>
              </w:rPr>
              <w:t>First-year analyst</w:t>
            </w:r>
          </w:p>
        </w:tc>
        <w:tc>
          <w:tcPr>
            <w:tcW w:type="dxa" w:w="1170"/>
          </w:tcPr>
          <w:p>
            <w:pPr>
              <w:spacing w:line="240" w:lineRule="auto" w:before="40" w:after="40"/>
            </w:pPr>
            <w:r>
              <w:rPr>
                <w:color w:val="000000"/>
                <w:sz w:val="20"/>
              </w:rPr>
            </w:r>
            <w:r>
              <w:rPr>
                <w:rFonts w:ascii="Arial" w:hAnsi="Arial" w:eastAsia="Arial" w:cs="Arial"/>
                <w:color w:val="000000"/>
                <w:sz w:val="20"/>
              </w:rPr>
              <w:t>$110,000</w:t>
            </w:r>
          </w:p>
        </w:tc>
        <w:tc>
          <w:tcPr>
            <w:tcW w:type="dxa" w:w="1170"/>
          </w:tcPr>
          <w:p>
            <w:pPr>
              <w:spacing w:line="240" w:lineRule="auto" w:before="40" w:after="40"/>
            </w:pPr>
            <w:r>
              <w:rPr>
                <w:color w:val="000000"/>
                <w:sz w:val="20"/>
              </w:rPr>
            </w:r>
            <w:r>
              <w:rPr>
                <w:rFonts w:ascii="Arial" w:hAnsi="Arial" w:eastAsia="Arial" w:cs="Arial"/>
                <w:color w:val="000000"/>
                <w:sz w:val="20"/>
              </w:rPr>
              <w:t>$75,000</w:t>
            </w:r>
          </w:p>
        </w:tc>
        <w:tc>
          <w:tcPr>
            <w:tcW w:type="dxa" w:w="1170"/>
          </w:tcPr>
          <w:p>
            <w:pPr>
              <w:spacing w:line="240" w:lineRule="auto" w:before="40" w:after="40"/>
            </w:pPr>
            <w:r>
              <w:rPr>
                <w:color w:val="000000"/>
                <w:sz w:val="20"/>
              </w:rPr>
            </w:r>
            <w:r>
              <w:rPr>
                <w:rFonts w:ascii="Arial" w:hAnsi="Arial" w:eastAsia="Arial" w:cs="Arial"/>
                <w:color w:val="000000"/>
                <w:sz w:val="20"/>
              </w:rPr>
              <w:t>$185,000</w:t>
            </w:r>
          </w:p>
        </w:tc>
        <w:tc>
          <w:tcPr>
            <w:tcW w:type="dxa" w:w="1170"/>
          </w:tcPr>
          <w:p>
            <w:pPr>
              <w:spacing w:line="240" w:lineRule="auto" w:before="40" w:after="40"/>
            </w:pPr>
            <w:r>
              <w:rPr>
                <w:color w:val="000000"/>
                <w:sz w:val="20"/>
              </w:rPr>
            </w:r>
            <w:r>
              <w:rPr>
                <w:rFonts w:ascii="Arial" w:hAnsi="Arial" w:eastAsia="Arial" w:cs="Arial"/>
                <w:color w:val="000000"/>
                <w:sz w:val="20"/>
              </w:rPr>
              <w:t>$64,434</w:t>
            </w:r>
          </w:p>
        </w:tc>
        <w:tc>
          <w:tcPr>
            <w:tcW w:type="dxa" w:w="1170"/>
          </w:tcPr>
          <w:p>
            <w:pPr>
              <w:spacing w:line="240" w:lineRule="auto" w:before="40" w:after="40"/>
            </w:pPr>
            <w:r>
              <w:rPr>
                <w:color w:val="000000"/>
                <w:sz w:val="20"/>
              </w:rPr>
            </w:r>
            <w:r>
              <w:rPr>
                <w:rFonts w:ascii="Arial" w:hAnsi="Arial" w:eastAsia="Arial" w:cs="Arial"/>
                <w:color w:val="000000"/>
                <w:sz w:val="20"/>
              </w:rPr>
              <w:t>$120,566</w:t>
            </w:r>
          </w:p>
        </w:tc>
        <w:tc>
          <w:tcPr>
            <w:tcW w:type="dxa" w:w="1170"/>
          </w:tcPr>
          <w:p>
            <w:pPr>
              <w:spacing w:line="240" w:lineRule="auto" w:before="40" w:after="40"/>
            </w:pPr>
            <w:r>
              <w:rPr>
                <w:color w:val="000000"/>
                <w:sz w:val="20"/>
              </w:rPr>
            </w:r>
            <w:r>
              <w:rPr>
                <w:rFonts w:ascii="Arial" w:hAnsi="Arial" w:eastAsia="Arial" w:cs="Arial"/>
                <w:color w:val="000000"/>
                <w:sz w:val="20"/>
              </w:rPr>
              <w:t>34.8%</w:t>
            </w:r>
          </w:p>
        </w:tc>
        <w:tc>
          <w:tcPr>
            <w:tcW w:type="dxa" w:w="1170"/>
          </w:tcPr>
          <w:p>
            <w:pPr>
              <w:spacing w:line="240" w:lineRule="auto" w:before="40" w:after="40"/>
            </w:pPr>
            <w:r>
              <w:rPr>
                <w:color w:val="000000"/>
                <w:sz w:val="20"/>
              </w:rPr>
            </w:r>
          </w:p>
        </w:tc>
      </w:tr>
      <w:tr>
        <w:tc>
          <w:tcPr>
            <w:tcW w:type="dxa" w:w="1170"/>
          </w:tcPr>
          <w:p>
            <w:pPr>
              <w:spacing w:line="240" w:lineRule="auto" w:before="40" w:after="40"/>
            </w:pPr>
            <w:r>
              <w:rPr>
                <w:color w:val="000000"/>
                <w:sz w:val="20"/>
              </w:rPr>
            </w:r>
            <w:r>
              <w:rPr>
                <w:rFonts w:ascii="Arial" w:hAnsi="Arial" w:eastAsia="Arial" w:cs="Arial"/>
                <w:color w:val="000000"/>
                <w:sz w:val="20"/>
              </w:rPr>
              <w:t>Second-year analyst</w:t>
            </w:r>
          </w:p>
        </w:tc>
        <w:tc>
          <w:tcPr>
            <w:tcW w:type="dxa" w:w="1170"/>
          </w:tcPr>
          <w:p>
            <w:pPr>
              <w:spacing w:line="240" w:lineRule="auto" w:before="40" w:after="40"/>
            </w:pPr>
            <w:r>
              <w:rPr>
                <w:color w:val="000000"/>
                <w:sz w:val="20"/>
              </w:rPr>
            </w:r>
            <w:r>
              <w:rPr>
                <w:rFonts w:ascii="Arial" w:hAnsi="Arial" w:eastAsia="Arial" w:cs="Arial"/>
                <w:color w:val="000000"/>
                <w:sz w:val="20"/>
              </w:rPr>
              <w:t>$125,000</w:t>
            </w:r>
          </w:p>
        </w:tc>
        <w:tc>
          <w:tcPr>
            <w:tcW w:type="dxa" w:w="1170"/>
          </w:tcPr>
          <w:p>
            <w:pPr>
              <w:spacing w:line="240" w:lineRule="auto" w:before="40" w:after="40"/>
            </w:pPr>
            <w:r>
              <w:rPr>
                <w:color w:val="000000"/>
                <w:sz w:val="20"/>
              </w:rPr>
            </w:r>
            <w:r>
              <w:rPr>
                <w:rFonts w:ascii="Arial" w:hAnsi="Arial" w:eastAsia="Arial" w:cs="Arial"/>
                <w:color w:val="000000"/>
                <w:sz w:val="20"/>
              </w:rPr>
              <w:t>$100,000</w:t>
            </w:r>
          </w:p>
        </w:tc>
        <w:tc>
          <w:tcPr>
            <w:tcW w:type="dxa" w:w="1170"/>
          </w:tcPr>
          <w:p>
            <w:pPr>
              <w:spacing w:line="240" w:lineRule="auto" w:before="40" w:after="40"/>
            </w:pPr>
            <w:r>
              <w:rPr>
                <w:color w:val="000000"/>
                <w:sz w:val="20"/>
              </w:rPr>
            </w:r>
            <w:r>
              <w:rPr>
                <w:rFonts w:ascii="Arial" w:hAnsi="Arial" w:eastAsia="Arial" w:cs="Arial"/>
                <w:color w:val="000000"/>
                <w:sz w:val="20"/>
              </w:rPr>
              <w:t>$225,000</w:t>
            </w:r>
          </w:p>
        </w:tc>
        <w:tc>
          <w:tcPr>
            <w:tcW w:type="dxa" w:w="1170"/>
          </w:tcPr>
          <w:p>
            <w:pPr>
              <w:spacing w:line="240" w:lineRule="auto" w:before="40" w:after="40"/>
            </w:pPr>
            <w:r>
              <w:rPr>
                <w:color w:val="000000"/>
                <w:sz w:val="20"/>
              </w:rPr>
            </w:r>
            <w:r>
              <w:rPr>
                <w:rFonts w:ascii="Arial" w:hAnsi="Arial" w:eastAsia="Arial" w:cs="Arial"/>
                <w:color w:val="000000"/>
                <w:sz w:val="20"/>
              </w:rPr>
              <w:t>$79,727</w:t>
            </w:r>
          </w:p>
        </w:tc>
        <w:tc>
          <w:tcPr>
            <w:tcW w:type="dxa" w:w="1170"/>
          </w:tcPr>
          <w:p>
            <w:pPr>
              <w:spacing w:line="240" w:lineRule="auto" w:before="40" w:after="40"/>
            </w:pPr>
            <w:r>
              <w:rPr>
                <w:color w:val="000000"/>
                <w:sz w:val="20"/>
              </w:rPr>
            </w:r>
            <w:r>
              <w:rPr>
                <w:rFonts w:ascii="Arial" w:hAnsi="Arial" w:eastAsia="Arial" w:cs="Arial"/>
                <w:color w:val="000000"/>
                <w:sz w:val="20"/>
              </w:rPr>
              <w:t>$145,273</w:t>
            </w:r>
          </w:p>
        </w:tc>
        <w:tc>
          <w:tcPr>
            <w:tcW w:type="dxa" w:w="1170"/>
          </w:tcPr>
          <w:p>
            <w:pPr>
              <w:spacing w:line="240" w:lineRule="auto" w:before="40" w:after="40"/>
            </w:pPr>
            <w:r>
              <w:rPr>
                <w:color w:val="000000"/>
                <w:sz w:val="20"/>
              </w:rPr>
            </w:r>
            <w:r>
              <w:rPr>
                <w:rFonts w:ascii="Arial" w:hAnsi="Arial" w:eastAsia="Arial" w:cs="Arial"/>
                <w:color w:val="000000"/>
                <w:sz w:val="20"/>
              </w:rPr>
              <w:t>35.4%</w:t>
            </w:r>
          </w:p>
        </w:tc>
        <w:tc>
          <w:tcPr>
            <w:tcW w:type="dxa" w:w="1170"/>
          </w:tcPr>
          <w:p>
            <w:pPr>
              <w:spacing w:line="240" w:lineRule="auto" w:before="40" w:after="40"/>
            </w:pPr>
            <w:r>
              <w:rPr>
                <w:color w:val="000000"/>
                <w:sz w:val="20"/>
              </w:rPr>
            </w:r>
            <w:r>
              <w:rPr>
                <w:rFonts w:ascii="Arial" w:hAnsi="Arial" w:eastAsia="Arial" w:cs="Arial"/>
                <w:color w:val="000000"/>
                <w:sz w:val="20"/>
              </w:rPr>
              <w:t>$24,708</w:t>
            </w:r>
          </w:p>
        </w:tc>
      </w:tr>
      <w:tr>
        <w:tc>
          <w:tcPr>
            <w:tcW w:type="dxa" w:w="1170"/>
          </w:tcPr>
          <w:p>
            <w:pPr>
              <w:spacing w:line="240" w:lineRule="auto" w:before="40" w:after="40"/>
            </w:pPr>
            <w:r>
              <w:rPr>
                <w:color w:val="000000"/>
                <w:sz w:val="20"/>
              </w:rPr>
            </w:r>
            <w:r>
              <w:rPr>
                <w:rFonts w:ascii="Arial" w:hAnsi="Arial" w:eastAsia="Arial" w:cs="Arial"/>
                <w:color w:val="000000"/>
                <w:sz w:val="20"/>
              </w:rPr>
              <w:t>Third-year analyst</w:t>
            </w:r>
          </w:p>
        </w:tc>
        <w:tc>
          <w:tcPr>
            <w:tcW w:type="dxa" w:w="1170"/>
          </w:tcPr>
          <w:p>
            <w:pPr>
              <w:spacing w:line="240" w:lineRule="auto" w:before="40" w:after="40"/>
            </w:pPr>
            <w:r>
              <w:rPr>
                <w:color w:val="000000"/>
                <w:sz w:val="20"/>
              </w:rPr>
            </w:r>
            <w:r>
              <w:rPr>
                <w:rFonts w:ascii="Arial" w:hAnsi="Arial" w:eastAsia="Arial" w:cs="Arial"/>
                <w:color w:val="000000"/>
                <w:sz w:val="20"/>
              </w:rPr>
              <w:t>$135,000</w:t>
            </w:r>
          </w:p>
        </w:tc>
        <w:tc>
          <w:tcPr>
            <w:tcW w:type="dxa" w:w="1170"/>
          </w:tcPr>
          <w:p>
            <w:pPr>
              <w:spacing w:line="240" w:lineRule="auto" w:before="40" w:after="40"/>
            </w:pPr>
            <w:r>
              <w:rPr>
                <w:color w:val="000000"/>
                <w:sz w:val="20"/>
              </w:rPr>
            </w:r>
            <w:r>
              <w:rPr>
                <w:rFonts w:ascii="Arial" w:hAnsi="Arial" w:eastAsia="Arial" w:cs="Arial"/>
                <w:color w:val="000000"/>
                <w:sz w:val="20"/>
              </w:rPr>
              <w:t>$130,000</w:t>
            </w:r>
          </w:p>
        </w:tc>
        <w:tc>
          <w:tcPr>
            <w:tcW w:type="dxa" w:w="1170"/>
          </w:tcPr>
          <w:p>
            <w:pPr>
              <w:spacing w:line="240" w:lineRule="auto" w:before="40" w:after="40"/>
            </w:pPr>
            <w:r>
              <w:rPr>
                <w:color w:val="000000"/>
                <w:sz w:val="20"/>
              </w:rPr>
            </w:r>
            <w:r>
              <w:rPr>
                <w:rFonts w:ascii="Arial" w:hAnsi="Arial" w:eastAsia="Arial" w:cs="Arial"/>
                <w:color w:val="000000"/>
                <w:sz w:val="20"/>
              </w:rPr>
              <w:t>$265,000</w:t>
            </w:r>
          </w:p>
        </w:tc>
        <w:tc>
          <w:tcPr>
            <w:tcW w:type="dxa" w:w="1170"/>
          </w:tcPr>
          <w:p>
            <w:pPr>
              <w:spacing w:line="240" w:lineRule="auto" w:before="40" w:after="40"/>
            </w:pPr>
            <w:r>
              <w:rPr>
                <w:color w:val="000000"/>
                <w:sz w:val="20"/>
              </w:rPr>
            </w:r>
            <w:r>
              <w:rPr>
                <w:rFonts w:ascii="Arial" w:hAnsi="Arial" w:eastAsia="Arial" w:cs="Arial"/>
                <w:color w:val="000000"/>
                <w:sz w:val="20"/>
              </w:rPr>
              <w:t>$99,395</w:t>
            </w:r>
          </w:p>
        </w:tc>
        <w:tc>
          <w:tcPr>
            <w:tcW w:type="dxa" w:w="1170"/>
          </w:tcPr>
          <w:p>
            <w:pPr>
              <w:spacing w:line="240" w:lineRule="auto" w:before="40" w:after="40"/>
            </w:pPr>
            <w:r>
              <w:rPr>
                <w:color w:val="000000"/>
                <w:sz w:val="20"/>
              </w:rPr>
            </w:r>
            <w:r>
              <w:rPr>
                <w:rFonts w:ascii="Arial" w:hAnsi="Arial" w:eastAsia="Arial" w:cs="Arial"/>
                <w:color w:val="000000"/>
                <w:sz w:val="20"/>
              </w:rPr>
              <w:t>$165,605</w:t>
            </w:r>
          </w:p>
        </w:tc>
        <w:tc>
          <w:tcPr>
            <w:tcW w:type="dxa" w:w="1170"/>
          </w:tcPr>
          <w:p>
            <w:pPr>
              <w:spacing w:line="240" w:lineRule="auto" w:before="40" w:after="40"/>
            </w:pPr>
            <w:r>
              <w:rPr>
                <w:color w:val="000000"/>
                <w:sz w:val="20"/>
              </w:rPr>
            </w:r>
            <w:r>
              <w:rPr>
                <w:rFonts w:ascii="Arial" w:hAnsi="Arial" w:eastAsia="Arial" w:cs="Arial"/>
                <w:color w:val="000000"/>
                <w:sz w:val="20"/>
              </w:rPr>
              <w:t>37.5%</w:t>
            </w:r>
          </w:p>
        </w:tc>
        <w:tc>
          <w:tcPr>
            <w:tcW w:type="dxa" w:w="1170"/>
          </w:tcPr>
          <w:p>
            <w:pPr>
              <w:spacing w:line="240" w:lineRule="auto" w:before="40" w:after="40"/>
            </w:pPr>
            <w:r>
              <w:rPr>
                <w:color w:val="000000"/>
                <w:sz w:val="20"/>
              </w:rPr>
            </w:r>
            <w:r>
              <w:rPr>
                <w:rFonts w:ascii="Arial" w:hAnsi="Arial" w:eastAsia="Arial" w:cs="Arial"/>
                <w:color w:val="000000"/>
                <w:sz w:val="20"/>
              </w:rPr>
              <w:t>$20,332</w:t>
            </w:r>
          </w:p>
        </w:tc>
      </w:tr>
      <w:tr>
        <w:tc>
          <w:tcPr>
            <w:tcW w:type="dxa" w:w="1170"/>
          </w:tcPr>
          <w:p>
            <w:pPr>
              <w:spacing w:line="240" w:lineRule="auto" w:before="40" w:after="40"/>
            </w:pPr>
            <w:r>
              <w:rPr>
                <w:color w:val="000000"/>
                <w:sz w:val="20"/>
              </w:rPr>
            </w:r>
            <w:r>
              <w:rPr>
                <w:rFonts w:ascii="Arial" w:hAnsi="Arial" w:eastAsia="Arial" w:cs="Arial"/>
                <w:color w:val="000000"/>
                <w:sz w:val="20"/>
              </w:rPr>
              <w:t>First-year associate (direct promote)</w:t>
            </w:r>
          </w:p>
        </w:tc>
        <w:tc>
          <w:tcPr>
            <w:tcW w:type="dxa" w:w="1170"/>
          </w:tcPr>
          <w:p>
            <w:pPr>
              <w:spacing w:line="240" w:lineRule="auto" w:before="40" w:after="40"/>
            </w:pPr>
            <w:r>
              <w:rPr>
                <w:color w:val="000000"/>
                <w:sz w:val="20"/>
              </w:rPr>
            </w:r>
            <w:r>
              <w:rPr>
                <w:rFonts w:ascii="Arial" w:hAnsi="Arial" w:eastAsia="Arial" w:cs="Arial"/>
                <w:color w:val="000000"/>
                <w:sz w:val="20"/>
              </w:rPr>
              <w:t>$175,000</w:t>
            </w:r>
          </w:p>
        </w:tc>
        <w:tc>
          <w:tcPr>
            <w:tcW w:type="dxa" w:w="1170"/>
          </w:tcPr>
          <w:p>
            <w:pPr>
              <w:spacing w:line="240" w:lineRule="auto" w:before="40" w:after="40"/>
            </w:pPr>
            <w:r>
              <w:rPr>
                <w:color w:val="000000"/>
                <w:sz w:val="20"/>
              </w:rPr>
            </w:r>
            <w:r>
              <w:rPr>
                <w:rFonts w:ascii="Arial" w:hAnsi="Arial" w:eastAsia="Arial" w:cs="Arial"/>
                <w:color w:val="000000"/>
                <w:sz w:val="20"/>
              </w:rPr>
              <w:t>$120,000</w:t>
            </w:r>
          </w:p>
        </w:tc>
        <w:tc>
          <w:tcPr>
            <w:tcW w:type="dxa" w:w="1170"/>
          </w:tcPr>
          <w:p>
            <w:pPr>
              <w:spacing w:line="240" w:lineRule="auto" w:before="40" w:after="40"/>
            </w:pPr>
            <w:r>
              <w:rPr>
                <w:color w:val="000000"/>
                <w:sz w:val="20"/>
              </w:rPr>
            </w:r>
            <w:r>
              <w:rPr>
                <w:rFonts w:ascii="Arial" w:hAnsi="Arial" w:eastAsia="Arial" w:cs="Arial"/>
                <w:color w:val="000000"/>
                <w:sz w:val="20"/>
              </w:rPr>
              <w:t>$295,000</w:t>
            </w:r>
          </w:p>
        </w:tc>
        <w:tc>
          <w:tcPr>
            <w:tcW w:type="dxa" w:w="1170"/>
          </w:tcPr>
          <w:p>
            <w:pPr>
              <w:spacing w:line="240" w:lineRule="auto" w:before="40" w:after="40"/>
            </w:pPr>
            <w:r>
              <w:rPr>
                <w:color w:val="000000"/>
                <w:sz w:val="20"/>
              </w:rPr>
            </w:r>
            <w:r>
              <w:rPr>
                <w:rFonts w:ascii="Arial" w:hAnsi="Arial" w:eastAsia="Arial" w:cs="Arial"/>
                <w:color w:val="000000"/>
                <w:sz w:val="20"/>
              </w:rPr>
              <w:t>$113,614</w:t>
            </w:r>
          </w:p>
        </w:tc>
        <w:tc>
          <w:tcPr>
            <w:tcW w:type="dxa" w:w="1170"/>
          </w:tcPr>
          <w:p>
            <w:pPr>
              <w:spacing w:line="240" w:lineRule="auto" w:before="40" w:after="40"/>
            </w:pPr>
            <w:r>
              <w:rPr>
                <w:color w:val="000000"/>
                <w:sz w:val="20"/>
              </w:rPr>
            </w:r>
            <w:r>
              <w:rPr>
                <w:rFonts w:ascii="Arial" w:hAnsi="Arial" w:eastAsia="Arial" w:cs="Arial"/>
                <w:color w:val="000000"/>
                <w:sz w:val="20"/>
              </w:rPr>
              <w:t>$181,386</w:t>
            </w:r>
          </w:p>
        </w:tc>
        <w:tc>
          <w:tcPr>
            <w:tcW w:type="dxa" w:w="1170"/>
          </w:tcPr>
          <w:p>
            <w:pPr>
              <w:spacing w:line="240" w:lineRule="auto" w:before="40" w:after="40"/>
            </w:pPr>
            <w:r>
              <w:rPr>
                <w:color w:val="000000"/>
                <w:sz w:val="20"/>
              </w:rPr>
            </w:r>
            <w:r>
              <w:rPr>
                <w:rFonts w:ascii="Arial" w:hAnsi="Arial" w:eastAsia="Arial" w:cs="Arial"/>
                <w:color w:val="000000"/>
                <w:sz w:val="20"/>
              </w:rPr>
              <w:t>38.5%</w:t>
            </w:r>
          </w:p>
        </w:tc>
        <w:tc>
          <w:tcPr>
            <w:tcW w:type="dxa" w:w="1170"/>
          </w:tcPr>
          <w:p>
            <w:pPr>
              <w:spacing w:line="240" w:lineRule="auto" w:before="40" w:after="40"/>
            </w:pPr>
            <w:r>
              <w:rPr>
                <w:color w:val="000000"/>
                <w:sz w:val="20"/>
              </w:rPr>
            </w:r>
            <w:r>
              <w:rPr>
                <w:rFonts w:ascii="Arial" w:hAnsi="Arial" w:eastAsia="Arial" w:cs="Arial"/>
                <w:color w:val="000000"/>
                <w:sz w:val="20"/>
              </w:rPr>
              <w:t>$15,781</w:t>
            </w:r>
          </w:p>
        </w:tc>
      </w:tr>
    </w:tbl>
    <w:p>
      <w:pPr/>
    </w:p>
    <w:p>
      <w:pPr>
        <w:spacing w:line="240" w:lineRule="auto"/>
        <w:jc w:val="center"/>
      </w:pPr>
      <w:r>
        <w:drawing>
          <wp:inline xmlns:a="http://schemas.openxmlformats.org/drawingml/2006/main" xmlns:pic="http://schemas.openxmlformats.org/drawingml/2006/picture">
            <wp:extent cx="5943600" cy="3525962"/>
            <wp:docPr id="8" name="Picture 8"/>
            <wp:cNvGraphicFramePr>
              <a:graphicFrameLocks noChangeAspect="1"/>
            </wp:cNvGraphicFramePr>
            <a:graphic>
              <a:graphicData uri="http://schemas.openxmlformats.org/drawingml/2006/picture">
                <pic:pic>
                  <pic:nvPicPr>
                    <pic:cNvPr id="0" name="07-gross-vs-take-home-by-year.png"/>
                    <pic:cNvPicPr/>
                  </pic:nvPicPr>
                  <pic:blipFill>
                    <a:blip r:embed="rId18"/>
                    <a:stretch>
                      <a:fillRect/>
                    </a:stretch>
                  </pic:blipFill>
                  <pic:spPr>
                    <a:xfrm>
                      <a:off x="0" y="0"/>
                      <a:ext cx="5943600" cy="3525962"/>
                    </a:xfrm>
                    <a:prstGeom prst="rect"/>
                  </pic:spPr>
                </pic:pic>
              </a:graphicData>
            </a:graphic>
          </wp:inline>
        </w:drawing>
      </w:r>
    </w:p>
    <w:p>
      <w:pPr>
        <w:jc w:val="center"/>
      </w:pPr>
      <w:r>
        <w:rPr>
          <w:rFonts w:ascii="Arial" w:hAnsi="Arial" w:eastAsia="Arial" w:cs="Arial"/>
          <w:i/>
          <w:sz w:val="20"/>
        </w:rPr>
        <w:t>Each $40,000 step in gross pay becomes $24,708, then $20,332, then $15,781 of take-home, because every raise lands in higher brackets and New York phases out its lower rates as you climb.</w:t>
      </w:r>
    </w:p>
    <w:p>
      <w:pPr/>
    </w:p>
    <w:p>
      <w:pPr/>
      <w:r>
        <w:rPr>
          <w:rFonts w:ascii="Arial" w:hAnsi="Arial" w:eastAsia="Arial" w:cs="Arial"/>
        </w:rPr>
        <w:t>[VERIFY: second-year reports of $125,000 base with $95,000 to $125,000 bonuses at Bank of America, Citi, JPMorgan, Wells Fargo and UBS and third-year reports of about $135,000 base with $130,000 to $150,000 bonuses at Citi and Wells Fargo, WSO 2026 thread; associate base of $175,000 to $225,000 and first-year associate bonuses of 60 to 70 percent of base per Mergers &amp; Inquisitions, February 2026; several banks add a one-time promotion bonus of about $40,000 that is excluded here; New York City, 2026 rules, no pre-tax deductions, script-checked]</w:t>
      </w:r>
    </w:p>
    <w:p>
      <w:pPr/>
    </w:p>
    <w:p>
      <w:pPr/>
      <w:r>
        <w:rPr>
          <w:rFonts w:ascii="Arial" w:hAnsi="Arial" w:eastAsia="Arial" w:cs="Arial"/>
          <w:b/>
        </w:rPr>
        <w:t>Gross pay rises $40,000 a year through the analyst program, but take-home rises about $20,000 to $25,000 a year, because each raise lands in higher brackets and New York phases out its lower rates as you climb.</w:t>
      </w:r>
      <w:r>
        <w:rPr>
          <w:rFonts w:ascii="Arial" w:hAnsi="Arial" w:eastAsia="Arial" w:cs="Arial"/>
        </w:rPr>
        <w:t xml:space="preserve"> The effective rate goes from 34.8 percent to 38.5 percent across the four rows. The second-year is already paying the 0.9 percent additional Medicare tax on wages past $200,000 and has crossed into New York's second phase-out above $215,400, which is why the effective rate keeps climbing.</w:t>
      </w:r>
    </w:p>
    <w:p>
      <w:pPr/>
    </w:p>
    <w:p>
      <w:pPr/>
      <w:r>
        <w:rPr>
          <w:rFonts w:ascii="Arial" w:hAnsi="Arial" w:eastAsia="Arial" w:cs="Arial"/>
        </w:rPr>
        <w:t>Most banks now promote analysts to associate after two years rather than three, so the third-year row is becoming rare and the associate row arrives a year sooner [VERIFY: two-year analyst programs at most bulge brackets per M&amp;I February 2026]. A direct-promote associate at $175,000 base with a $120,000 bonus keeps $181,386, and a few banks have reported a one-time promotion bonus of about $40,000 on top [VERIFY: $40,000 promotion bonus at Citi and UBS per the WSO 2026 thread].</w:t>
      </w:r>
    </w:p>
    <w:p>
      <w:pPr/>
    </w:p>
    <w:p>
      <w:pPr/>
      <w:r>
        <w:rPr>
          <w:rFonts w:ascii="Arial" w:hAnsi="Arial" w:eastAsia="Arial" w:cs="Arial"/>
        </w:rPr>
        <w:t>Now the comparison every sophomore eventually makes. Here are four entry-level seats on the same New York tax engine, with the hours each one is known for.</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Job</w:t>
            </w:r>
          </w:p>
        </w:tc>
        <w:tc>
          <w:tcPr>
            <w:tcW w:type="dxa" w:w="1337"/>
          </w:tcPr>
          <w:p>
            <w:pPr>
              <w:spacing w:line="240" w:lineRule="auto" w:before="40" w:after="40"/>
            </w:pPr>
            <w:r>
              <w:rPr>
                <w:color w:val="000000"/>
                <w:sz w:val="20"/>
              </w:rPr>
            </w:r>
            <w:r>
              <w:rPr>
                <w:rFonts w:ascii="Arial" w:hAnsi="Arial" w:eastAsia="Arial" w:cs="Arial"/>
                <w:b/>
                <w:color w:val="000000"/>
                <w:sz w:val="20"/>
              </w:rPr>
              <w:t>Base</w:t>
            </w:r>
          </w:p>
        </w:tc>
        <w:tc>
          <w:tcPr>
            <w:tcW w:type="dxa" w:w="1337"/>
          </w:tcPr>
          <w:p>
            <w:pPr>
              <w:spacing w:line="240" w:lineRule="auto" w:before="40" w:after="40"/>
            </w:pPr>
            <w:r>
              <w:rPr>
                <w:color w:val="000000"/>
                <w:sz w:val="20"/>
              </w:rPr>
            </w:r>
            <w:r>
              <w:rPr>
                <w:rFonts w:ascii="Arial" w:hAnsi="Arial" w:eastAsia="Arial" w:cs="Arial"/>
                <w:b/>
                <w:color w:val="000000"/>
                <w:sz w:val="20"/>
              </w:rPr>
              <w:t>Bonus</w:t>
            </w:r>
          </w:p>
        </w:tc>
        <w:tc>
          <w:tcPr>
            <w:tcW w:type="dxa" w:w="1337"/>
          </w:tcPr>
          <w:p>
            <w:pPr>
              <w:spacing w:line="240" w:lineRule="auto" w:before="40" w:after="40"/>
            </w:pPr>
            <w:r>
              <w:rPr>
                <w:color w:val="000000"/>
                <w:sz w:val="20"/>
              </w:rPr>
            </w:r>
            <w:r>
              <w:rPr>
                <w:rFonts w:ascii="Arial" w:hAnsi="Arial" w:eastAsia="Arial" w:cs="Arial"/>
                <w:b/>
                <w:color w:val="000000"/>
                <w:sz w:val="20"/>
              </w:rPr>
              <w:t>All-in</w:t>
            </w:r>
          </w:p>
        </w:tc>
        <w:tc>
          <w:tcPr>
            <w:tcW w:type="dxa" w:w="1337"/>
          </w:tcPr>
          <w:p>
            <w:pPr>
              <w:spacing w:line="240" w:lineRule="auto" w:before="40" w:after="40"/>
            </w:pPr>
            <w:r>
              <w:rPr>
                <w:color w:val="000000"/>
                <w:sz w:val="20"/>
              </w:rPr>
            </w:r>
            <w:r>
              <w:rPr>
                <w:rFonts w:ascii="Arial" w:hAnsi="Arial" w:eastAsia="Arial" w:cs="Arial"/>
                <w:b/>
                <w:color w:val="000000"/>
                <w:sz w:val="20"/>
              </w:rPr>
              <w:t>Take-home</w:t>
            </w:r>
          </w:p>
        </w:tc>
        <w:tc>
          <w:tcPr>
            <w:tcW w:type="dxa" w:w="1337"/>
          </w:tcPr>
          <w:p>
            <w:pPr>
              <w:spacing w:line="240" w:lineRule="auto" w:before="40" w:after="40"/>
            </w:pPr>
            <w:r>
              <w:rPr>
                <w:color w:val="000000"/>
                <w:sz w:val="20"/>
              </w:rPr>
            </w:r>
            <w:r>
              <w:rPr>
                <w:rFonts w:ascii="Arial" w:hAnsi="Arial" w:eastAsia="Arial" w:cs="Arial"/>
                <w:b/>
                <w:color w:val="000000"/>
                <w:sz w:val="20"/>
              </w:rPr>
              <w:t>Hours a week</w:t>
            </w:r>
          </w:p>
        </w:tc>
        <w:tc>
          <w:tcPr>
            <w:tcW w:type="dxa" w:w="1337"/>
          </w:tcPr>
          <w:p>
            <w:pPr>
              <w:spacing w:line="240" w:lineRule="auto" w:before="40" w:after="40"/>
            </w:pPr>
            <w:r>
              <w:rPr>
                <w:color w:val="000000"/>
                <w:sz w:val="20"/>
              </w:rPr>
            </w:r>
            <w:r>
              <w:rPr>
                <w:rFonts w:ascii="Arial" w:hAnsi="Arial" w:eastAsia="Arial" w:cs="Arial"/>
                <w:b/>
                <w:color w:val="000000"/>
                <w:sz w:val="20"/>
              </w:rPr>
              <w:t>Take-home per hour</w:t>
            </w:r>
          </w:p>
        </w:tc>
      </w:tr>
      <w:tr>
        <w:tc>
          <w:tcPr>
            <w:tcW w:type="dxa" w:w="1337"/>
          </w:tcPr>
          <w:p>
            <w:pPr>
              <w:spacing w:line="240" w:lineRule="auto" w:before="40" w:after="40"/>
            </w:pPr>
            <w:r>
              <w:rPr>
                <w:color w:val="000000"/>
                <w:sz w:val="20"/>
              </w:rPr>
            </w:r>
            <w:r>
              <w:rPr>
                <w:rFonts w:ascii="Arial" w:hAnsi="Arial" w:eastAsia="Arial" w:cs="Arial"/>
                <w:color w:val="000000"/>
                <w:sz w:val="20"/>
              </w:rPr>
              <w:t>Investment banking analyst (bulge bracket, middle bucket)</w:t>
            </w:r>
          </w:p>
        </w:tc>
        <w:tc>
          <w:tcPr>
            <w:tcW w:type="dxa" w:w="1337"/>
          </w:tcPr>
          <w:p>
            <w:pPr>
              <w:spacing w:line="240" w:lineRule="auto" w:before="40" w:after="40"/>
            </w:pPr>
            <w:r>
              <w:rPr>
                <w:color w:val="000000"/>
                <w:sz w:val="20"/>
              </w:rPr>
            </w:r>
            <w:r>
              <w:rPr>
                <w:rFonts w:ascii="Arial" w:hAnsi="Arial" w:eastAsia="Arial" w:cs="Arial"/>
                <w:color w:val="000000"/>
                <w:sz w:val="20"/>
              </w:rPr>
              <w:t>$110,000</w:t>
            </w:r>
          </w:p>
        </w:tc>
        <w:tc>
          <w:tcPr>
            <w:tcW w:type="dxa" w:w="1337"/>
          </w:tcPr>
          <w:p>
            <w:pPr>
              <w:spacing w:line="240" w:lineRule="auto" w:before="40" w:after="40"/>
            </w:pPr>
            <w:r>
              <w:rPr>
                <w:color w:val="000000"/>
                <w:sz w:val="20"/>
              </w:rPr>
            </w:r>
            <w:r>
              <w:rPr>
                <w:rFonts w:ascii="Arial" w:hAnsi="Arial" w:eastAsia="Arial" w:cs="Arial"/>
                <w:color w:val="000000"/>
                <w:sz w:val="20"/>
              </w:rPr>
              <w:t>$75,000</w:t>
            </w:r>
          </w:p>
        </w:tc>
        <w:tc>
          <w:tcPr>
            <w:tcW w:type="dxa" w:w="1337"/>
          </w:tcPr>
          <w:p>
            <w:pPr>
              <w:spacing w:line="240" w:lineRule="auto" w:before="40" w:after="40"/>
            </w:pPr>
            <w:r>
              <w:rPr>
                <w:color w:val="000000"/>
                <w:sz w:val="20"/>
              </w:rPr>
            </w:r>
            <w:r>
              <w:rPr>
                <w:rFonts w:ascii="Arial" w:hAnsi="Arial" w:eastAsia="Arial" w:cs="Arial"/>
                <w:color w:val="000000"/>
                <w:sz w:val="20"/>
              </w:rPr>
              <w:t>$185,000</w:t>
            </w:r>
          </w:p>
        </w:tc>
        <w:tc>
          <w:tcPr>
            <w:tcW w:type="dxa" w:w="1337"/>
          </w:tcPr>
          <w:p>
            <w:pPr>
              <w:spacing w:line="240" w:lineRule="auto" w:before="40" w:after="40"/>
            </w:pPr>
            <w:r>
              <w:rPr>
                <w:color w:val="000000"/>
                <w:sz w:val="20"/>
              </w:rPr>
            </w:r>
            <w:r>
              <w:rPr>
                <w:rFonts w:ascii="Arial" w:hAnsi="Arial" w:eastAsia="Arial" w:cs="Arial"/>
                <w:color w:val="000000"/>
                <w:sz w:val="20"/>
              </w:rPr>
              <w:t>$120,566</w:t>
            </w:r>
          </w:p>
        </w:tc>
        <w:tc>
          <w:tcPr>
            <w:tcW w:type="dxa" w:w="1337"/>
          </w:tcPr>
          <w:p>
            <w:pPr>
              <w:spacing w:line="240" w:lineRule="auto" w:before="40" w:after="40"/>
            </w:pPr>
            <w:r>
              <w:rPr>
                <w:color w:val="000000"/>
                <w:sz w:val="20"/>
              </w:rPr>
            </w:r>
            <w:r>
              <w:rPr>
                <w:rFonts w:ascii="Arial" w:hAnsi="Arial" w:eastAsia="Arial" w:cs="Arial"/>
                <w:color w:val="000000"/>
                <w:sz w:val="20"/>
              </w:rPr>
              <w:t>85</w:t>
            </w:r>
          </w:p>
        </w:tc>
        <w:tc>
          <w:tcPr>
            <w:tcW w:type="dxa" w:w="1337"/>
          </w:tcPr>
          <w:p>
            <w:pPr>
              <w:spacing w:line="240" w:lineRule="auto" w:before="40" w:after="40"/>
            </w:pPr>
            <w:r>
              <w:rPr>
                <w:color w:val="000000"/>
                <w:sz w:val="20"/>
              </w:rPr>
            </w:r>
            <w:r>
              <w:rPr>
                <w:rFonts w:ascii="Arial" w:hAnsi="Arial" w:eastAsia="Arial" w:cs="Arial"/>
                <w:color w:val="000000"/>
                <w:sz w:val="20"/>
              </w:rPr>
              <w:t>$28/hr</w:t>
            </w:r>
          </w:p>
        </w:tc>
      </w:tr>
      <w:tr>
        <w:tc>
          <w:tcPr>
            <w:tcW w:type="dxa" w:w="1337"/>
          </w:tcPr>
          <w:p>
            <w:pPr>
              <w:spacing w:line="240" w:lineRule="auto" w:before="40" w:after="40"/>
            </w:pPr>
            <w:r>
              <w:rPr>
                <w:color w:val="000000"/>
                <w:sz w:val="20"/>
              </w:rPr>
            </w:r>
            <w:r>
              <w:rPr>
                <w:rFonts w:ascii="Arial" w:hAnsi="Arial" w:eastAsia="Arial" w:cs="Arial"/>
                <w:color w:val="000000"/>
                <w:sz w:val="20"/>
              </w:rPr>
              <w:t>McKinsey business analyst</w:t>
            </w:r>
          </w:p>
        </w:tc>
        <w:tc>
          <w:tcPr>
            <w:tcW w:type="dxa" w:w="1337"/>
          </w:tcPr>
          <w:p>
            <w:pPr>
              <w:spacing w:line="240" w:lineRule="auto" w:before="40" w:after="40"/>
            </w:pPr>
            <w:r>
              <w:rPr>
                <w:color w:val="000000"/>
                <w:sz w:val="20"/>
              </w:rPr>
            </w:r>
            <w:r>
              <w:rPr>
                <w:rFonts w:ascii="Arial" w:hAnsi="Arial" w:eastAsia="Arial" w:cs="Arial"/>
                <w:color w:val="000000"/>
                <w:sz w:val="20"/>
              </w:rPr>
              <w:t>$112,000</w:t>
            </w:r>
          </w:p>
        </w:tc>
        <w:tc>
          <w:tcPr>
            <w:tcW w:type="dxa" w:w="1337"/>
          </w:tcPr>
          <w:p>
            <w:pPr>
              <w:spacing w:line="240" w:lineRule="auto" w:before="40" w:after="40"/>
            </w:pPr>
            <w:r>
              <w:rPr>
                <w:color w:val="000000"/>
                <w:sz w:val="20"/>
              </w:rPr>
            </w:r>
            <w:r>
              <w:rPr>
                <w:rFonts w:ascii="Arial" w:hAnsi="Arial" w:eastAsia="Arial" w:cs="Arial"/>
                <w:color w:val="000000"/>
                <w:sz w:val="20"/>
              </w:rPr>
              <w:t>$30,000</w:t>
            </w:r>
          </w:p>
        </w:tc>
        <w:tc>
          <w:tcPr>
            <w:tcW w:type="dxa" w:w="1337"/>
          </w:tcPr>
          <w:p>
            <w:pPr>
              <w:spacing w:line="240" w:lineRule="auto" w:before="40" w:after="40"/>
            </w:pPr>
            <w:r>
              <w:rPr>
                <w:color w:val="000000"/>
                <w:sz w:val="20"/>
              </w:rPr>
            </w:r>
            <w:r>
              <w:rPr>
                <w:rFonts w:ascii="Arial" w:hAnsi="Arial" w:eastAsia="Arial" w:cs="Arial"/>
                <w:color w:val="000000"/>
                <w:sz w:val="20"/>
              </w:rPr>
              <w:t>$142,000</w:t>
            </w:r>
          </w:p>
        </w:tc>
        <w:tc>
          <w:tcPr>
            <w:tcW w:type="dxa" w:w="1337"/>
          </w:tcPr>
          <w:p>
            <w:pPr>
              <w:spacing w:line="240" w:lineRule="auto" w:before="40" w:after="40"/>
            </w:pPr>
            <w:r>
              <w:rPr>
                <w:color w:val="000000"/>
                <w:sz w:val="20"/>
              </w:rPr>
            </w:r>
            <w:r>
              <w:rPr>
                <w:rFonts w:ascii="Arial" w:hAnsi="Arial" w:eastAsia="Arial" w:cs="Arial"/>
                <w:color w:val="000000"/>
                <w:sz w:val="20"/>
              </w:rPr>
              <w:t>$95,526</w:t>
            </w:r>
          </w:p>
        </w:tc>
        <w:tc>
          <w:tcPr>
            <w:tcW w:type="dxa" w:w="1337"/>
          </w:tcPr>
          <w:p>
            <w:pPr>
              <w:spacing w:line="240" w:lineRule="auto" w:before="40" w:after="40"/>
            </w:pPr>
            <w:r>
              <w:rPr>
                <w:color w:val="000000"/>
                <w:sz w:val="20"/>
              </w:rPr>
            </w:r>
            <w:r>
              <w:rPr>
                <w:rFonts w:ascii="Arial" w:hAnsi="Arial" w:eastAsia="Arial" w:cs="Arial"/>
                <w:color w:val="000000"/>
                <w:sz w:val="20"/>
              </w:rPr>
              <w:t>60</w:t>
            </w:r>
          </w:p>
        </w:tc>
        <w:tc>
          <w:tcPr>
            <w:tcW w:type="dxa" w:w="1337"/>
          </w:tcPr>
          <w:p>
            <w:pPr>
              <w:spacing w:line="240" w:lineRule="auto" w:before="40" w:after="40"/>
            </w:pPr>
            <w:r>
              <w:rPr>
                <w:color w:val="000000"/>
                <w:sz w:val="20"/>
              </w:rPr>
            </w:r>
            <w:r>
              <w:rPr>
                <w:rFonts w:ascii="Arial" w:hAnsi="Arial" w:eastAsia="Arial" w:cs="Arial"/>
                <w:color w:val="000000"/>
                <w:sz w:val="20"/>
              </w:rPr>
              <w:t>$32/hr</w:t>
            </w:r>
          </w:p>
        </w:tc>
      </w:tr>
      <w:tr>
        <w:tc>
          <w:tcPr>
            <w:tcW w:type="dxa" w:w="1337"/>
          </w:tcPr>
          <w:p>
            <w:pPr>
              <w:spacing w:line="240" w:lineRule="auto" w:before="40" w:after="40"/>
            </w:pPr>
            <w:r>
              <w:rPr>
                <w:color w:val="000000"/>
                <w:sz w:val="20"/>
              </w:rPr>
            </w:r>
            <w:r>
              <w:rPr>
                <w:rFonts w:ascii="Arial" w:hAnsi="Arial" w:eastAsia="Arial" w:cs="Arial"/>
                <w:color w:val="000000"/>
                <w:sz w:val="20"/>
              </w:rPr>
              <w:t>Private credit analyst (first year, mid)</w:t>
            </w:r>
          </w:p>
        </w:tc>
        <w:tc>
          <w:tcPr>
            <w:tcW w:type="dxa" w:w="1337"/>
          </w:tcPr>
          <w:p>
            <w:pPr>
              <w:spacing w:line="240" w:lineRule="auto" w:before="40" w:after="40"/>
            </w:pPr>
            <w:r>
              <w:rPr>
                <w:color w:val="000000"/>
                <w:sz w:val="20"/>
              </w:rPr>
            </w:r>
            <w:r>
              <w:rPr>
                <w:rFonts w:ascii="Arial" w:hAnsi="Arial" w:eastAsia="Arial" w:cs="Arial"/>
                <w:color w:val="000000"/>
                <w:sz w:val="20"/>
              </w:rPr>
              <w:t>$140,000</w:t>
            </w:r>
          </w:p>
        </w:tc>
        <w:tc>
          <w:tcPr>
            <w:tcW w:type="dxa" w:w="1337"/>
          </w:tcPr>
          <w:p>
            <w:pPr>
              <w:spacing w:line="240" w:lineRule="auto" w:before="40" w:after="40"/>
            </w:pPr>
            <w:r>
              <w:rPr>
                <w:color w:val="000000"/>
                <w:sz w:val="20"/>
              </w:rPr>
            </w:r>
            <w:r>
              <w:rPr>
                <w:rFonts w:ascii="Arial" w:hAnsi="Arial" w:eastAsia="Arial" w:cs="Arial"/>
                <w:color w:val="000000"/>
                <w:sz w:val="20"/>
              </w:rPr>
              <w:t>$75,000</w:t>
            </w:r>
          </w:p>
        </w:tc>
        <w:tc>
          <w:tcPr>
            <w:tcW w:type="dxa" w:w="1337"/>
          </w:tcPr>
          <w:p>
            <w:pPr>
              <w:spacing w:line="240" w:lineRule="auto" w:before="40" w:after="40"/>
            </w:pPr>
            <w:r>
              <w:rPr>
                <w:color w:val="000000"/>
                <w:sz w:val="20"/>
              </w:rPr>
            </w:r>
            <w:r>
              <w:rPr>
                <w:rFonts w:ascii="Arial" w:hAnsi="Arial" w:eastAsia="Arial" w:cs="Arial"/>
                <w:color w:val="000000"/>
                <w:sz w:val="20"/>
              </w:rPr>
              <w:t>$215,000</w:t>
            </w:r>
          </w:p>
        </w:tc>
        <w:tc>
          <w:tcPr>
            <w:tcW w:type="dxa" w:w="1337"/>
          </w:tcPr>
          <w:p>
            <w:pPr>
              <w:spacing w:line="240" w:lineRule="auto" w:before="40" w:after="40"/>
            </w:pPr>
            <w:r>
              <w:rPr>
                <w:color w:val="000000"/>
                <w:sz w:val="20"/>
              </w:rPr>
            </w:r>
            <w:r>
              <w:rPr>
                <w:rFonts w:ascii="Arial" w:hAnsi="Arial" w:eastAsia="Arial" w:cs="Arial"/>
                <w:color w:val="000000"/>
                <w:sz w:val="20"/>
              </w:rPr>
              <w:t>$139,863</w:t>
            </w:r>
          </w:p>
        </w:tc>
        <w:tc>
          <w:tcPr>
            <w:tcW w:type="dxa" w:w="1337"/>
          </w:tcPr>
          <w:p>
            <w:pPr>
              <w:spacing w:line="240" w:lineRule="auto" w:before="40" w:after="40"/>
            </w:pPr>
            <w:r>
              <w:rPr>
                <w:color w:val="000000"/>
                <w:sz w:val="20"/>
              </w:rPr>
            </w:r>
            <w:r>
              <w:rPr>
                <w:rFonts w:ascii="Arial" w:hAnsi="Arial" w:eastAsia="Arial" w:cs="Arial"/>
                <w:color w:val="000000"/>
                <w:sz w:val="20"/>
              </w:rPr>
              <w:t>65</w:t>
            </w:r>
          </w:p>
        </w:tc>
        <w:tc>
          <w:tcPr>
            <w:tcW w:type="dxa" w:w="1337"/>
          </w:tcPr>
          <w:p>
            <w:pPr>
              <w:spacing w:line="240" w:lineRule="auto" w:before="40" w:after="40"/>
            </w:pPr>
            <w:r>
              <w:rPr>
                <w:color w:val="000000"/>
                <w:sz w:val="20"/>
              </w:rPr>
            </w:r>
            <w:r>
              <w:rPr>
                <w:rFonts w:ascii="Arial" w:hAnsi="Arial" w:eastAsia="Arial" w:cs="Arial"/>
                <w:color w:val="000000"/>
                <w:sz w:val="20"/>
              </w:rPr>
              <w:t>$43/hr</w:t>
            </w:r>
          </w:p>
        </w:tc>
      </w:tr>
      <w:tr>
        <w:tc>
          <w:tcPr>
            <w:tcW w:type="dxa" w:w="1337"/>
          </w:tcPr>
          <w:p>
            <w:pPr>
              <w:spacing w:line="240" w:lineRule="auto" w:before="40" w:after="40"/>
            </w:pPr>
            <w:r>
              <w:rPr>
                <w:color w:val="000000"/>
                <w:sz w:val="20"/>
              </w:rPr>
            </w:r>
            <w:r>
              <w:rPr>
                <w:rFonts w:ascii="Arial" w:hAnsi="Arial" w:eastAsia="Arial" w:cs="Arial"/>
                <w:color w:val="000000"/>
                <w:sz w:val="20"/>
              </w:rPr>
              <w:t>Equity research associate (first year, mid)</w:t>
            </w:r>
          </w:p>
        </w:tc>
        <w:tc>
          <w:tcPr>
            <w:tcW w:type="dxa" w:w="1337"/>
          </w:tcPr>
          <w:p>
            <w:pPr>
              <w:spacing w:line="240" w:lineRule="auto" w:before="40" w:after="40"/>
            </w:pPr>
            <w:r>
              <w:rPr>
                <w:color w:val="000000"/>
                <w:sz w:val="20"/>
              </w:rPr>
            </w:r>
            <w:r>
              <w:rPr>
                <w:rFonts w:ascii="Arial" w:hAnsi="Arial" w:eastAsia="Arial" w:cs="Arial"/>
                <w:color w:val="000000"/>
                <w:sz w:val="20"/>
              </w:rPr>
              <w:t>$120,000</w:t>
            </w:r>
          </w:p>
        </w:tc>
        <w:tc>
          <w:tcPr>
            <w:tcW w:type="dxa" w:w="1337"/>
          </w:tcPr>
          <w:p>
            <w:pPr>
              <w:spacing w:line="240" w:lineRule="auto" w:before="40" w:after="40"/>
            </w:pPr>
            <w:r>
              <w:rPr>
                <w:color w:val="000000"/>
                <w:sz w:val="20"/>
              </w:rPr>
            </w:r>
            <w:r>
              <w:rPr>
                <w:rFonts w:ascii="Arial" w:hAnsi="Arial" w:eastAsia="Arial" w:cs="Arial"/>
                <w:color w:val="000000"/>
                <w:sz w:val="20"/>
              </w:rPr>
              <w:t>$40,000</w:t>
            </w:r>
          </w:p>
        </w:tc>
        <w:tc>
          <w:tcPr>
            <w:tcW w:type="dxa" w:w="1337"/>
          </w:tcPr>
          <w:p>
            <w:pPr>
              <w:spacing w:line="240" w:lineRule="auto" w:before="40" w:after="40"/>
            </w:pPr>
            <w:r>
              <w:rPr>
                <w:color w:val="000000"/>
                <w:sz w:val="20"/>
              </w:rPr>
            </w:r>
            <w:r>
              <w:rPr>
                <w:rFonts w:ascii="Arial" w:hAnsi="Arial" w:eastAsia="Arial" w:cs="Arial"/>
                <w:color w:val="000000"/>
                <w:sz w:val="20"/>
              </w:rPr>
              <w:t>$160,000</w:t>
            </w:r>
          </w:p>
        </w:tc>
        <w:tc>
          <w:tcPr>
            <w:tcW w:type="dxa" w:w="1337"/>
          </w:tcPr>
          <w:p>
            <w:pPr>
              <w:spacing w:line="240" w:lineRule="auto" w:before="40" w:after="40"/>
            </w:pPr>
            <w:r>
              <w:rPr>
                <w:color w:val="000000"/>
                <w:sz w:val="20"/>
              </w:rPr>
            </w:r>
            <w:r>
              <w:rPr>
                <w:rFonts w:ascii="Arial" w:hAnsi="Arial" w:eastAsia="Arial" w:cs="Arial"/>
                <w:color w:val="000000"/>
                <w:sz w:val="20"/>
              </w:rPr>
              <w:t>$105,891</w:t>
            </w:r>
          </w:p>
        </w:tc>
        <w:tc>
          <w:tcPr>
            <w:tcW w:type="dxa" w:w="1337"/>
          </w:tcPr>
          <w:p>
            <w:pPr>
              <w:spacing w:line="240" w:lineRule="auto" w:before="40" w:after="40"/>
            </w:pPr>
            <w:r>
              <w:rPr>
                <w:color w:val="000000"/>
                <w:sz w:val="20"/>
              </w:rPr>
            </w:r>
            <w:r>
              <w:rPr>
                <w:rFonts w:ascii="Arial" w:hAnsi="Arial" w:eastAsia="Arial" w:cs="Arial"/>
                <w:color w:val="000000"/>
                <w:sz w:val="20"/>
              </w:rPr>
              <w:t>60</w:t>
            </w:r>
          </w:p>
        </w:tc>
        <w:tc>
          <w:tcPr>
            <w:tcW w:type="dxa" w:w="1337"/>
          </w:tcPr>
          <w:p>
            <w:pPr>
              <w:spacing w:line="240" w:lineRule="auto" w:before="40" w:after="40"/>
            </w:pPr>
            <w:r>
              <w:rPr>
                <w:color w:val="000000"/>
                <w:sz w:val="20"/>
              </w:rPr>
            </w:r>
            <w:r>
              <w:rPr>
                <w:rFonts w:ascii="Arial" w:hAnsi="Arial" w:eastAsia="Arial" w:cs="Arial"/>
                <w:color w:val="000000"/>
                <w:sz w:val="20"/>
              </w:rPr>
              <w:t>$35/hr</w:t>
            </w:r>
          </w:p>
        </w:tc>
      </w:tr>
    </w:tbl>
    <w:p>
      <w:pPr/>
    </w:p>
    <w:p>
      <w:pPr/>
      <w:r>
        <w:rPr>
          <w:rFonts w:ascii="Arial" w:hAnsi="Arial" w:eastAsia="Arial" w:cs="Arial"/>
        </w:rPr>
        <w:t>[VERIFY: McKinsey BA base of about $110,000 to $112,000 and bonus of about $30,000 per the WSG McKinsey salary post; private credit first-year base of $130,000 to $150,000 and bonus of $50,000 to $100,000 per the WSG private credit salary post; equity research associate all-in of $125,000 to $200,000 per the WSG equity research post, split here into base and bonus as an assumption; hours are typical ranges, not measured, with banking at 80 to 100, consulting and research at 55 to 65, private credit at 60 to 75; 50 working weeks; script-checked]</w:t>
      </w:r>
    </w:p>
    <w:p>
      <w:pPr/>
    </w:p>
    <w:p>
      <w:pPr/>
      <w:r>
        <w:rPr>
          <w:rFonts w:ascii="Arial" w:hAnsi="Arial" w:eastAsia="Arial" w:cs="Arial"/>
          <w:b/>
        </w:rPr>
        <w:t>Banking pays the most dollars of the four entry jobs and the fewest dollars per hour.</w:t>
      </w:r>
      <w:r>
        <w:rPr>
          <w:rFonts w:ascii="Arial" w:hAnsi="Arial" w:eastAsia="Arial" w:cs="Arial"/>
        </w:rPr>
        <w:t xml:space="preserve"> The first-year banker takes home $25,000 more than the McKinsey analyst and $15,000 more than the research associate, and earns less per hour than either, because a 4,250-hour year is a lot of hours to divide by. Private credit wins both, which is part of why the credit route has gotten crowded; our </w:t>
      </w:r>
      <w:hyperlink r:id="rId19">
        <w:r>
          <w:rPr>
            <w:rFonts w:ascii="Arial" w:hAnsi="Arial" w:eastAsia="Arial" w:cs="Arial"/>
            <w:color w:val="0563C1"/>
            <w:u w:val="single"/>
          </w:rPr>
          <w:t xml:space="preserve">private credit salary breakdown</w:t>
        </w:r>
      </w:hyperlink>
      <w:r>
        <w:rPr>
          <w:rFonts w:ascii="Arial" w:hAnsi="Arial" w:eastAsia="Arial" w:cs="Arial"/>
        </w:rPr>
        <w:t xml:space="preserve"> covers that path and the </w:t>
      </w:r>
      <w:hyperlink r:id="rId20">
        <w:r>
          <w:rPr>
            <w:rFonts w:ascii="Arial" w:hAnsi="Arial" w:eastAsia="Arial" w:cs="Arial"/>
            <w:color w:val="0563C1"/>
            <w:u w:val="single"/>
          </w:rPr>
          <w:t xml:space="preserve">McKinsey salary guide</w:t>
        </w:r>
      </w:hyperlink>
      <w:r>
        <w:rPr>
          <w:rFonts w:ascii="Arial" w:hAnsi="Arial" w:eastAsia="Arial" w:cs="Arial"/>
        </w:rPr>
        <w:t xml:space="preserve"> and </w:t>
      </w:r>
      <w:hyperlink r:id="rId21">
        <w:r>
          <w:rPr>
            <w:rFonts w:ascii="Arial" w:hAnsi="Arial" w:eastAsia="Arial" w:cs="Arial"/>
            <w:color w:val="0563C1"/>
            <w:u w:val="single"/>
          </w:rPr>
          <w:t xml:space="preserve">equity research explainer</w:t>
        </w:r>
      </w:hyperlink>
      <w:r>
        <w:rPr>
          <w:rFonts w:ascii="Arial" w:hAnsi="Arial" w:eastAsia="Arial" w:cs="Arial"/>
        </w:rPr>
        <w:t xml:space="preserve"> cover the other two. The per-hour column isn't an argument against banking. It's the price of the training and the exit options, and it's worth paying with your eyes open.</w:t>
      </w:r>
    </w:p>
    <w:p>
      <w:pPr/>
    </w:p>
    <w:p>
      <w:pPr>
        <w:pStyle w:val="Heading2"/>
      </w:pPr>
      <w:r>
        <w:rPr>
          <w:rFonts w:ascii="Arial" w:hAnsi="Arial" w:eastAsia="Arial" w:cs="Arial"/>
        </w:rPr>
        <w:t>10. 2027 pay will be set by the bonus pool, not by a raise, and the last raise came from a slide deck</w:t>
      </w:r>
    </w:p>
    <w:p>
      <w:pPr/>
      <w:r>
        <w:rPr>
          <w:rFonts w:ascii="Arial" w:hAnsi="Arial" w:eastAsia="Arial" w:cs="Arial"/>
        </w:rPr>
        <w:t>Students ask me whether bases will go up for the 2027 class. The honest answer is probably not, and the reason is in how the last raise happened.</w:t>
      </w:r>
    </w:p>
    <w:p>
      <w:pPr/>
    </w:p>
    <w:p>
      <w:pPr/>
      <w:r>
        <w:rPr>
          <w:rFonts w:ascii="Arial" w:hAnsi="Arial" w:eastAsia="Arial" w:cs="Arial"/>
        </w:rPr>
        <w:t>In early 2021, thirteen first-year analysts at Goldman Sachs put together an internal survey and presented it to management as a slide deck. They reported averaging more than 95 hours a week, sleeping about five hours a night, and one of them wrote that the conditions were "beyond the level of 'hard-working.' This is inhumane." The deck leaked in March 2021 and ran on CNN and across the financial press [VERIFY: CNN, March 18, 2021: 13 analysts, more than 95 hours a week, five hours of sleep, the "inhumane" quote]. That spring, every bank was fighting to hire juniors for a record deal year, tech companies were competing hard for the same graduates, and the deck made the whole thing public.</w:t>
      </w:r>
    </w:p>
    <w:p>
      <w:pPr/>
    </w:p>
    <w:p>
      <w:pPr/>
      <w:r>
        <w:rPr>
          <w:rFonts w:ascii="Arial" w:hAnsi="Arial" w:eastAsia="Arial" w:cs="Arial"/>
        </w:rPr>
        <w:t xml:space="preserve">The raises came within months. JPMorgan lifted first-year base from $85,000 to $100,000 in June 2021 [VERIFY: CNN, June 29, 2021]. Goldman went from $85,000 to $110,000 on August 3, 2021, with second-years to $125,000 and first-year associates to $150,000, and Bank of America, Jefferies and William Blair matched the $110,000 [VERIFY: Banking Dive, August 3, 2021; eFinancialCareers, August 2021]. Evercore went to $120,000 plus a $15,000 signing bonus [VERIFY: Business Insider via eFinancialCareers, August 2021]. JPMorgan raised junior pay a second time in January 2022 to catch up [VERIFY: Bloomberg, January 19, 2022, "JPMorgan raises salaries for junior bankers for second time"]. </w:t>
      </w:r>
      <w:r>
        <w:rPr>
          <w:rFonts w:ascii="Arial" w:hAnsi="Arial" w:eastAsia="Arial" w:cs="Arial"/>
          <w:b/>
        </w:rPr>
        <w:t>The 2021 raise took first-year base from $85,000 to $110,000 in about a year, a 29 percent jump that started with thirteen analysts and a slide deck, and it has stayed in place ever since.</w:t>
      </w:r>
    </w:p>
    <w:p>
      <w:pPr/>
    </w:p>
    <w:p>
      <w:pPr/>
      <w:r>
        <w:rPr>
          <w:rFonts w:ascii="Arial" w:hAnsi="Arial" w:eastAsia="Arial" w:cs="Arial"/>
          <w:b/>
        </w:rPr>
        <w:t>Base salaries move only when banks are competing for juniors, and in 2026 they aren't: deal fees are up, hiring in tech and consulting is slow, and the 2026 class got the same base as the 2022 class.</w:t>
      </w:r>
      <w:r>
        <w:rPr>
          <w:rFonts w:ascii="Arial" w:hAnsi="Arial" w:eastAsia="Arial" w:cs="Arial"/>
        </w:rPr>
        <w:t xml:space="preserve"> Goldman's investment banking fees rose 21 percent in 2025, and junior pay rose about 5 percent, which tells you where the pool went [VERIFY: Goldman 2025 8-K exhibit; M&amp;I February 2026]. A 2027 base raise would need a 2021-style combination: a deal boom, competing offers from outside finance, and analysts leaving. Watch for those three things, not for rumors.</w:t>
      </w:r>
    </w:p>
    <w:p>
      <w:pPr/>
    </w:p>
    <w:p>
      <w:pPr/>
      <w:r>
        <w:rPr>
          <w:rFonts w:ascii="Arial" w:hAnsi="Arial" w:eastAsia="Arial" w:cs="Arial"/>
        </w:rPr>
        <w:t>What will move the 2027 numbers is the bonus pool, and the pool follows fees. If 2026 and 2027 deal activity holds at 2025 levels, the Summer 2027 and Summer 2028 first-year bonuses should look like the 2026 ones: $45,000 to $100,000 at bulge brackets, higher at the elite boutiques [VERIFY: projection based on the 2026 season; refresh after the Summer 2027 bonus season]. If activity falls, the bottom bucket falls first and furthest, as Deutsche Bank's $20,000 bottom bucket in 2026 shows [VERIFY: WSO 2026 thread].</w:t>
      </w:r>
    </w:p>
    <w:p>
      <w:pPr/>
    </w:p>
    <w:p>
      <w:pPr/>
      <w:r>
        <w:rPr>
          <w:rFonts w:ascii="Arial" w:hAnsi="Arial" w:eastAsia="Arial" w:cs="Arial"/>
        </w:rPr>
        <w:t>Two smaller things move the take-home side every year without anyone announcing them. The federal brackets and standard deduction are indexed to inflation each fall, so the 2027 and 2028 tax years will let a little more income through at the lower rates [VERIFY: the IRS publishes the next year's figures each October or November]. The Social Security wage base moves with the national average wage index, from $176,100 in 2025 to $184,500 in 2026, so each year a little more of the bonus is subject to the 6.2 percent [VERIFY: SSA, 2025 and 2026 wage bases]. Neither is big. Both are worth knowing about, so the figures here don't surprise you when they drift.</w:t>
      </w:r>
    </w:p>
    <w:p>
      <w:pPr/>
    </w:p>
    <w:p>
      <w:pPr>
        <w:pStyle w:val="Heading2"/>
      </w:pPr>
      <w:r>
        <w:rPr>
          <w:rFonts w:ascii="Arial" w:hAnsi="Arial" w:eastAsia="Arial" w:cs="Arial"/>
        </w:rPr>
        <w:t>Say this, don't say that: talking about pay on networking calls and in interviews</w:t>
      </w:r>
    </w:p>
    <w:p>
      <w:pPr/>
      <w:r>
        <w:rPr>
          <w:rFonts w:ascii="Arial" w:hAnsi="Arial" w:eastAsia="Arial" w:cs="Arial"/>
        </w:rPr>
        <w:t>Pay questions are allowed. The wrong ones make you sound like you're ranking the bank by the bonus, which is exactly how the bank doesn't want to be ranked. The right ones get you better information anyway.</w:t>
      </w:r>
    </w:p>
    <w:p>
      <w:pPr/>
    </w:p>
    <w:p>
      <w:pPr/>
      <w:r>
        <w:rPr>
          <w:rFonts w:ascii="Arial" w:hAnsi="Arial" w:eastAsia="Arial" w:cs="Arial"/>
          <w:b/>
        </w:rPr>
        <w:t>On a networking call, asking about compensation</w:t>
      </w:r>
    </w:p>
    <w:p>
      <w:pPr/>
      <w:r>
        <w:rPr>
          <w:rFonts w:ascii="Arial" w:hAnsi="Arial" w:eastAsia="Arial" w:cs="Arial"/>
        </w:rPr>
        <w:t>Don't say: "What's the bonus like?"</w:t>
      </w:r>
    </w:p>
    <w:p>
      <w:pPr/>
      <w:r>
        <w:rPr>
          <w:rFonts w:ascii="Arial" w:hAnsi="Arial" w:eastAsia="Arial" w:cs="Arial"/>
        </w:rPr>
        <w:t>Say: "How are first-year bonuses bucketed at your bank, and does the group's deal flow change the range much?"</w:t>
      </w:r>
    </w:p>
    <w:p>
      <w:pPr/>
    </w:p>
    <w:p>
      <w:pPr/>
      <w:r>
        <w:rPr>
          <w:rFonts w:ascii="Arial" w:hAnsi="Arial" w:eastAsia="Arial" w:cs="Arial"/>
        </w:rPr>
        <w:t>The first version gets a number the analyst isn't supposed to share and a note in their head. The second gets you the mechanism from section 3, which is what you actually need.</w:t>
      </w:r>
    </w:p>
    <w:p>
      <w:pPr/>
    </w:p>
    <w:p>
      <w:pPr/>
      <w:r>
        <w:rPr>
          <w:rFonts w:ascii="Arial" w:hAnsi="Arial" w:eastAsia="Arial" w:cs="Arial"/>
          <w:b/>
        </w:rPr>
        <w:t>When an interviewer asks what you know about analyst pay</w:t>
      </w:r>
    </w:p>
    <w:p>
      <w:pPr/>
      <w:r>
        <w:rPr>
          <w:rFonts w:ascii="Arial" w:hAnsi="Arial" w:eastAsia="Arial" w:cs="Arial"/>
        </w:rPr>
        <w:t>Don't say: "I think it's around $200,000 all-in, which is one of the reasons I'm interested."</w:t>
      </w:r>
    </w:p>
    <w:p>
      <w:pPr/>
      <w:r>
        <w:rPr>
          <w:rFonts w:ascii="Arial" w:hAnsi="Arial" w:eastAsia="Arial" w:cs="Arial"/>
        </w:rPr>
        <w:t>Say: "My understanding is base is on a fixed scale and the bonus depends on ranking and the bank's year, so I'm focused on getting into the group where I'll learn the most."</w:t>
      </w:r>
    </w:p>
    <w:p>
      <w:pPr/>
    </w:p>
    <w:p>
      <w:pPr/>
      <w:r>
        <w:rPr>
          <w:rFonts w:ascii="Arial" w:hAnsi="Arial" w:eastAsia="Arial" w:cs="Arial"/>
          <w:b/>
        </w:rPr>
        <w:t>When the offer arrives and you want to negotiate</w:t>
      </w:r>
    </w:p>
    <w:p>
      <w:pPr/>
      <w:r>
        <w:rPr>
          <w:rFonts w:ascii="Arial" w:hAnsi="Arial" w:eastAsia="Arial" w:cs="Arial"/>
        </w:rPr>
        <w:t>Don't say: "Can you match the $120,000 base at [other bank]?"</w:t>
      </w:r>
    </w:p>
    <w:p>
      <w:pPr/>
      <w:r>
        <w:rPr>
          <w:rFonts w:ascii="Arial" w:hAnsi="Arial" w:eastAsia="Arial" w:cs="Arial"/>
        </w:rPr>
        <w:t>Say: Nothing about base; it's set for the class. If you have a competing offer, ask whether the signing bonus has any flexibility, and ask HR which bonus calendar the bank uses so you can plan the first year.</w:t>
      </w:r>
    </w:p>
    <w:p>
      <w:pPr/>
    </w:p>
    <w:p>
      <w:pPr/>
      <w:r>
        <w:rPr>
          <w:rFonts w:ascii="Arial" w:hAnsi="Arial" w:eastAsia="Arial" w:cs="Arial"/>
          <w:b/>
        </w:rPr>
        <w:t>When a friend asks whether the money is good</w:t>
      </w:r>
    </w:p>
    <w:p>
      <w:pPr/>
      <w:r>
        <w:rPr>
          <w:rFonts w:ascii="Arial" w:hAnsi="Arial" w:eastAsia="Arial" w:cs="Arial"/>
        </w:rPr>
        <w:t>Don't say: "It's $200K."</w:t>
      </w:r>
    </w:p>
    <w:p>
      <w:pPr/>
      <w:r>
        <w:rPr>
          <w:rFonts w:ascii="Arial" w:hAnsi="Arial" w:eastAsia="Arial" w:cs="Arial"/>
        </w:rPr>
        <w:t>Say: "It's about $130K after New York taxes, before the 401(k), and most of the bonus shows up once a year."</w:t>
      </w:r>
    </w:p>
    <w:p>
      <w:pPr/>
    </w:p>
    <w:p>
      <w:pPr/>
      <w:r>
        <w:rPr>
          <w:rFonts w:ascii="Arial" w:hAnsi="Arial" w:eastAsia="Arial" w:cs="Arial"/>
        </w:rPr>
        <w:t xml:space="preserve">Students who can say the second version of each of these come across as people who have already done the math, which is the impression you want a bank to have of its future analysts. For what actually determines who gets the seat, our guide to </w:t>
      </w:r>
      <w:hyperlink r:id="rId22">
        <w:r>
          <w:rPr>
            <w:rFonts w:ascii="Arial" w:hAnsi="Arial" w:eastAsia="Arial" w:cs="Arial"/>
            <w:color w:val="0563C1"/>
            <w:u w:val="single"/>
          </w:rPr>
          <w:t xml:space="preserve">how hard it is to get into investment banking</w:t>
        </w:r>
      </w:hyperlink>
      <w:r>
        <w:rPr>
          <w:rFonts w:ascii="Arial" w:hAnsi="Arial" w:eastAsia="Arial" w:cs="Arial"/>
        </w:rPr>
        <w:t xml:space="preserve"> is the place to go next.</w:t>
      </w:r>
    </w:p>
    <w:p>
      <w:pPr/>
    </w:p>
    <w:p>
      <w:pPr>
        <w:pStyle w:val="Heading2"/>
      </w:pPr>
      <w:r>
        <w:rPr>
          <w:rFonts w:ascii="Arial" w:hAnsi="Arial" w:eastAsia="Arial" w:cs="Arial"/>
        </w:rPr>
        <w:t>The number to carry around</w:t>
      </w:r>
    </w:p>
    <w:p>
      <w:pPr/>
      <w:r>
        <w:rPr>
          <w:rFonts w:ascii="Arial" w:hAnsi="Arial" w:eastAsia="Arial" w:cs="Arial"/>
        </w:rPr>
        <w:t xml:space="preserve">Carry $130,000, not $200,000. That's a top-bucket bulge bracket or middle-bucket elite boutique first-year in New York after taxes, and it drops to about $120,000 for the middle of a bulge bracket class and about $103,000 at the bottom. </w:t>
      </w:r>
      <w:r>
        <w:rPr>
          <w:rFonts w:ascii="Arial" w:hAnsi="Arial" w:eastAsia="Arial" w:cs="Arial"/>
          <w:b/>
        </w:rPr>
        <w:t>Decide your rent on the base, decide your savings rate on the bonus after it has cleared, and open the 401(k) on the first paycheck.</w:t>
      </w:r>
      <w:r>
        <w:rPr>
          <w:rFonts w:ascii="Arial" w:hAnsi="Arial" w:eastAsia="Arial" w:cs="Arial"/>
        </w:rPr>
        <w:t xml:space="preserve"> Then go earn the top bucket, because the $55,000 between the bottom and the top of your class is the only part of an investment banking analyst salary that was ever up to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wallstreetguide.net/post/top-10-investment-banks-what-makes-each-one-different-and-who-should-actually-target-them" TargetMode="External"/><Relationship Id="rId11" Type="http://schemas.openxmlformats.org/officeDocument/2006/relationships/hyperlink" Target="https://www.wallstreetguide.net/post/top-middle-market-investment-banks-10-firms-for-2027"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wallstreetguide.net/post/private-credit-salary-2026-full-breakdown" TargetMode="External"/><Relationship Id="rId20" Type="http://schemas.openxmlformats.org/officeDocument/2006/relationships/hyperlink" Target="https://www.wallstreetguide.net/post/mckinsey-salary-2026-business-analyst-associate-partner-pay-explained" TargetMode="External"/><Relationship Id="rId21" Type="http://schemas.openxmlformats.org/officeDocument/2006/relationships/hyperlink" Target="https://www.wallstreetguide.net/post/what-does-an-equity-research-analyst-do-salary-career-path-how-to-break-in" TargetMode="External"/><Relationship Id="rId22" Type="http://schemas.openxmlformats.org/officeDocument/2006/relationships/hyperlink" Target="https://www.wallstreetguide.net/post/how-hard-is-it-to-get-into-investment-banking-6-things-that-actually-ma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