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20 Private Credit Interview Questions</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20 private credit interview questions, how to answer each one, and the credit-instinct question that quietly decides who gets the offer.</w:t>
      </w:r>
    </w:p>
    <w:p>
      <w:pPr>
        <w:spacing w:line="480" w:lineRule="auto" w:before="0" w:after="0"/>
      </w:pPr>
      <w:r>
        <w:rPr>
          <w:rFonts w:ascii="Arial" w:hAnsi="Arial" w:cs="Arial" w:eastAsia="Arial"/>
          <w:b w:val="0"/>
          <w:color w:val="000000"/>
          <w:sz w:val="22"/>
          <w:u w:val="none"/>
        </w:rPr>
        <w:t xml:space="preserve">Most candidates prep for a private credit interview by re-running their IB technical guide. They walk in able to build a DCF in their sleep, then get cut on the one question that actually matters: would you lend to this company, and how would you structure it? </w:t>
      </w:r>
      <w:r>
        <w:rPr>
          <w:rFonts w:ascii="Arial" w:hAnsi="Arial" w:cs="Arial" w:eastAsia="Arial"/>
          <w:b/>
          <w:color w:val="000000"/>
          <w:sz w:val="22"/>
          <w:u w:val="none"/>
        </w:rPr>
        <w:t>Private credit interviews reward credit judgment, not deal-execution polish, and that is the gap most undergrads never close.</w:t>
      </w:r>
    </w:p>
    <w:p>
      <w:pPr>
        <w:spacing w:line="480" w:lineRule="auto" w:before="0" w:after="0"/>
      </w:pPr>
      <w:r>
        <w:rPr>
          <w:rFonts w:ascii="Arial" w:hAnsi="Arial" w:cs="Arial" w:eastAsia="Arial"/>
          <w:b w:val="0"/>
          <w:color w:val="000000"/>
          <w:sz w:val="22"/>
          <w:u w:val="none"/>
        </w:rPr>
        <w:t>As a Harvard alum who went through McKinsey's on-cycle recruiting and now runs WSG watching sophomores attempt the buy-side route every cycle, these are the 20 private credit interview questions I'd hand a student two weeks before a first round at Ares, HPS, or a bulge bracket credit team. Five are fit. Fifteen are technical, weighted toward the credit-specific mechanics that separate a real candidate from someone who just memorized M&amp;I.</w:t>
      </w:r>
    </w:p>
    <w:p>
      <w:pPr>
        <w:spacing w:line="480" w:lineRule="auto" w:before="0" w:after="0"/>
      </w:pPr>
      <w:r>
        <w:rPr>
          <w:rFonts w:ascii="Arial" w:hAnsi="Arial" w:cs="Arial" w:eastAsia="Arial"/>
          <w:b/>
          <w:color w:val="000000"/>
          <w:sz w:val="36"/>
          <w:u w:val="none"/>
        </w:rPr>
        <w:t>How are private credit interview questions different from IB interview questions?</w:t>
      </w:r>
    </w:p>
    <w:p>
      <w:pPr>
        <w:spacing w:line="480" w:lineRule="auto" w:before="0" w:after="0"/>
      </w:pPr>
      <w:r>
        <w:rPr>
          <w:rFonts w:ascii="Arial" w:hAnsi="Arial" w:cs="Arial" w:eastAsia="Arial"/>
          <w:b w:val="0"/>
          <w:color w:val="000000"/>
          <w:sz w:val="22"/>
          <w:u w:val="none"/>
        </w:rPr>
        <w:t>They share a foundation and then diverge. You still need the three statements, an LBO, and basic valuation. On top of that, private credit interviews test the debt waterfall, covenant structures, leverage and coverage ratios, recovery analysis, and the instinct to size downside before upside. The IB interviewer wants to know if you can build the model. The credit interviewer wants to know if you'd get paid back.</w:t>
      </w:r>
    </w:p>
    <w:p>
      <w:pPr>
        <w:spacing w:line="480" w:lineRule="auto" w:before="0" w:after="0"/>
      </w:pPr>
      <w:r>
        <w:rPr>
          <w:rFonts w:ascii="Arial" w:hAnsi="Arial" w:cs="Arial" w:eastAsia="Arial"/>
          <w:b/>
          <w:color w:val="000000"/>
          <w:sz w:val="36"/>
          <w:u w:val="none"/>
        </w:rPr>
        <w:t>How technical do private credit interviews actually get?</w:t>
      </w:r>
    </w:p>
    <w:p>
      <w:pPr>
        <w:spacing w:line="480" w:lineRule="auto" w:before="0" w:after="0"/>
      </w:pPr>
      <w:r>
        <w:rPr>
          <w:rFonts w:ascii="Arial" w:hAnsi="Arial" w:cs="Arial" w:eastAsia="Arial"/>
          <w:b w:val="0"/>
          <w:color w:val="000000"/>
          <w:sz w:val="22"/>
          <w:u w:val="none"/>
        </w:rPr>
        <w:t>More technical than most students expect, but narrower. You won't get exotic accretion/dilution math. You will get asked to read a cap table, identify where you'd sit in the capital structure, name the covenants you'd require, and walk through what happens if the borrower misses a payment. The bar is depth in credit, not breadth across every corner of finance.</w:t>
      </w:r>
    </w:p>
    <w:p>
      <w:pPr>
        <w:spacing w:line="480" w:lineRule="auto" w:before="0" w:after="0"/>
      </w:pPr>
      <w:r>
        <w:rPr>
          <w:rFonts w:ascii="Arial" w:hAnsi="Arial" w:cs="Arial" w:eastAsia="Arial"/>
          <w:b/>
          <w:color w:val="000000"/>
          <w:sz w:val="36"/>
          <w:u w:val="none"/>
        </w:rPr>
        <w:t>Fit and behavioral private credit interview questions</w:t>
      </w:r>
    </w:p>
    <w:p>
      <w:pPr>
        <w:spacing w:line="480" w:lineRule="auto" w:before="0" w:after="0"/>
      </w:pPr>
      <w:r>
        <w:rPr>
          <w:rFonts w:ascii="Arial" w:hAnsi="Arial" w:cs="Arial" w:eastAsia="Arial"/>
          <w:b/>
          <w:color w:val="000000"/>
          <w:sz w:val="28"/>
          <w:u w:val="single"/>
        </w:rPr>
        <w:t>1. Why private credit over investment banking?</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understand the difference between advising on a deal and owning the risk.</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Contrast the work. IB executes transactions; private credit underwrites and holds credit risk over time. </w:t>
      </w:r>
      <w:r>
        <w:rPr>
          <w:rFonts w:ascii="Arial" w:hAnsi="Arial" w:cs="Arial" w:eastAsia="Arial"/>
          <w:b/>
          <w:color w:val="000000"/>
          <w:sz w:val="22"/>
          <w:u w:val="none"/>
        </w:rPr>
        <w:t>Lead toward the credit work, not away from banking hours, or you'll sound like every burned-out analyst.</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"I want to be on the side of the table deciding whether to lend, not the side formatting the pitchbook."</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"Private credit has better hours and pays about the same."</w:t>
      </w:r>
    </w:p>
    <w:p>
      <w:pPr>
        <w:spacing w:line="480" w:lineRule="auto" w:before="0" w:after="0"/>
      </w:pPr>
      <w:r>
        <w:rPr>
          <w:rFonts w:ascii="Arial" w:hAnsi="Arial" w:cs="Arial" w:eastAsia="Arial"/>
          <w:b/>
          <w:color w:val="000000"/>
          <w:sz w:val="28"/>
          <w:u w:val="single"/>
        </w:rPr>
        <w:t>2. Why private credit over private equity?</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understand risk and return from a lender's seat, not an owner's.</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Frame it around where you sit in the capital structure. </w:t>
      </w:r>
      <w:r>
        <w:rPr>
          <w:rFonts w:ascii="Arial" w:hAnsi="Arial" w:cs="Arial" w:eastAsia="Arial"/>
          <w:b/>
          <w:color w:val="000000"/>
          <w:sz w:val="22"/>
          <w:u w:val="none"/>
        </w:rPr>
        <w:t>The strong answer says you want to protect the downside and earn a contractual return, not chase the equity upside.</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"Credit gets paid contractually through interest and principal. The discipline of structuring to actually get paid back is the work I want."</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"I couldn't get a PE offer." Even if it's true, lead with real interest in the asset class.</w:t>
      </w:r>
    </w:p>
    <w:p>
      <w:pPr>
        <w:spacing w:line="480" w:lineRule="auto" w:before="0" w:after="0"/>
      </w:pPr>
      <w:r>
        <w:rPr>
          <w:rFonts w:ascii="Arial" w:hAnsi="Arial" w:cs="Arial" w:eastAsia="Arial"/>
          <w:b/>
          <w:color w:val="000000"/>
          <w:sz w:val="28"/>
          <w:u w:val="single"/>
        </w:rPr>
        <w:t>3. Why this firm specifically?</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you've researched the firm's strategy or papered over a generic application.</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Name the firm's lane. Mega-fund credit arm, dedicated direct lender, and BB credit desk all run different playbooks. </w:t>
      </w:r>
      <w:r>
        <w:rPr>
          <w:rFonts w:ascii="Arial" w:hAnsi="Arial" w:cs="Arial" w:eastAsia="Arial"/>
          <w:b/>
          <w:color w:val="000000"/>
          <w:sz w:val="22"/>
          <w:u w:val="none"/>
        </w:rPr>
        <w:t>A real answer names the firm's lending lane and a borrower type, never its brand.</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"Your direct lending franchise leans middle-market industrials, and the senior secured structures on your recent deals reflect a covenant discipline I want to learn from." [VERIFY: confirm the firm's actual sector focus and a recent deal before the interview]</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"Because you're a leader in private credit."</w:t>
      </w:r>
    </w:p>
    <w:p>
      <w:pPr>
        <w:spacing w:line="480" w:lineRule="auto" w:before="0" w:after="0"/>
      </w:pPr>
      <w:r>
        <w:rPr>
          <w:rFonts w:ascii="Arial" w:hAnsi="Arial" w:cs="Arial" w:eastAsia="Arial"/>
          <w:b/>
          <w:color w:val="000000"/>
          <w:sz w:val="28"/>
          <w:u w:val="single"/>
        </w:rPr>
        <w:t>4. Walk me through a recent credit or deal you've been following.</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read the market or you're faking interest.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Pick a real direct lending deal or a liability management situation. Name the borrower, the structure, the lenders, and your view of the risk. </w:t>
      </w:r>
      <w:r>
        <w:rPr>
          <w:rFonts w:ascii="Arial" w:hAnsi="Arial" w:cs="Arial" w:eastAsia="Arial"/>
          <w:b/>
          <w:color w:val="000000"/>
          <w:sz w:val="22"/>
          <w:u w:val="none"/>
        </w:rPr>
        <w:t>Following one real credit situation closely beats name-dropping a famous buyout you never studied.</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"I followed the First Brands situation and the questions it raised about underwriting discipline across private credit lenders." [VERIFY: current details of any deal you cite, since facts move fast]</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"I read about a big leveraged buyout once."</w:t>
      </w:r>
    </w:p>
    <w:p>
      <w:pPr>
        <w:spacing w:line="480" w:lineRule="auto" w:before="0" w:after="0"/>
      </w:pPr>
      <w:r>
        <w:rPr>
          <w:rFonts w:ascii="Arial" w:hAnsi="Arial" w:cs="Arial" w:eastAsia="Arial"/>
          <w:b/>
          <w:color w:val="000000"/>
          <w:sz w:val="28"/>
          <w:u w:val="single"/>
        </w:rPr>
        <w:t>5. Where do you see yourself in five years?</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your story is coherent and whether you'll stay long enough to be useful.</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Show you understand the path: analyst years building underwriting reps, then a clear next step inside credit. </w:t>
      </w:r>
      <w:r>
        <w:rPr>
          <w:rFonts w:ascii="Arial" w:hAnsi="Arial" w:cs="Arial" w:eastAsia="Arial"/>
          <w:b/>
          <w:color w:val="000000"/>
          <w:sz w:val="22"/>
          <w:u w:val="none"/>
        </w:rPr>
        <w:t>Show a path that builds inside credit, not an exit timer counting down to a hedge fund.</w:t>
      </w:r>
    </w:p>
    <w:p>
      <w:pPr>
        <w:pStyle w:val="ListBullet"/>
        <w:spacing w:line="480" w:lineRule="auto" w:before="0" w:after="0"/>
      </w:pPr>
      <w:r>
        <w:rPr>
          <w:rFonts w:ascii="Arial" w:hAnsi="Arial" w:cs="Arial" w:eastAsia="Arial"/>
          <w:b/>
          <w:color w:val="000000"/>
          <w:sz w:val="22"/>
          <w:u w:val="none"/>
        </w:rPr>
        <w:t>Say this:</w:t>
      </w:r>
      <w:r>
        <w:rPr>
          <w:rFonts w:ascii="Arial" w:hAnsi="Arial" w:cs="Arial" w:eastAsia="Arial"/>
          <w:b w:val="0"/>
          <w:color w:val="000000"/>
          <w:sz w:val="22"/>
          <w:u w:val="none"/>
        </w:rPr>
        <w:t xml:space="preserve"> "Two to three years building credit underwriting fundamentals, then owning borrower relationships and leading diligence."</w:t>
      </w:r>
    </w:p>
    <w:p>
      <w:pPr>
        <w:pStyle w:val="ListBullet"/>
        <w:spacing w:line="480" w:lineRule="auto" w:before="0" w:after="0"/>
      </w:pPr>
      <w:r>
        <w:rPr>
          <w:rFonts w:ascii="Arial" w:hAnsi="Arial" w:cs="Arial" w:eastAsia="Arial"/>
          <w:b/>
          <w:color w:val="000000"/>
          <w:sz w:val="22"/>
          <w:u w:val="none"/>
        </w:rPr>
        <w:t>Don't say:</w:t>
      </w:r>
      <w:r>
        <w:rPr>
          <w:rFonts w:ascii="Arial" w:hAnsi="Arial" w:cs="Arial" w:eastAsia="Arial"/>
          <w:b w:val="0"/>
          <w:color w:val="000000"/>
          <w:sz w:val="22"/>
          <w:u w:val="none"/>
        </w:rPr>
        <w:t xml:space="preserve"> "Private credit for two years, then I'm out."</w:t>
      </w:r>
    </w:p>
    <w:p>
      <w:pPr>
        <w:spacing w:line="480" w:lineRule="auto" w:before="0" w:after="0"/>
      </w:pPr>
      <w:r>
        <w:rPr>
          <w:rFonts w:ascii="Arial" w:hAnsi="Arial" w:cs="Arial" w:eastAsia="Arial"/>
          <w:b/>
          <w:color w:val="000000"/>
          <w:sz w:val="36"/>
          <w:u w:val="none"/>
        </w:rPr>
        <w:t>Foundational technical private credit interview questions</w:t>
      </w:r>
    </w:p>
    <w:p>
      <w:pPr>
        <w:spacing w:line="480" w:lineRule="auto" w:before="0" w:after="0"/>
      </w:pPr>
      <w:r>
        <w:rPr>
          <w:rFonts w:ascii="Arial" w:hAnsi="Arial" w:cs="Arial" w:eastAsia="Arial"/>
          <w:b/>
          <w:color w:val="000000"/>
          <w:sz w:val="28"/>
          <w:u w:val="single"/>
        </w:rPr>
        <w:t>6. Walk me through the three financial statements and how they connect.</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Accounting foundation. Non-negotiable before any credit conversation.</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Net income flows from the income statement to retained earnings on the balance sheet and to the top of the cash flow statement, which reconciles net income to the change in cash through working capital, capex, and financing. </w:t>
      </w:r>
      <w:r>
        <w:rPr>
          <w:rFonts w:ascii="Arial" w:hAnsi="Arial" w:cs="Arial" w:eastAsia="Arial"/>
          <w:b/>
          <w:color w:val="000000"/>
          <w:sz w:val="22"/>
          <w:u w:val="none"/>
        </w:rPr>
        <w:t>For a lender, the cash flow statement matters most, because cash is what services the debt.</w:t>
      </w:r>
    </w:p>
    <w:p>
      <w:pPr>
        <w:spacing w:line="480" w:lineRule="auto" w:before="0" w:after="0"/>
      </w:pPr>
      <w:r>
        <w:rPr>
          <w:rFonts w:ascii="Arial" w:hAnsi="Arial" w:cs="Arial" w:eastAsia="Arial"/>
          <w:b/>
          <w:color w:val="000000"/>
          <w:sz w:val="28"/>
          <w:u w:val="single"/>
        </w:rPr>
        <w:t>7. Walk me through an LBO.</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understand the transactions your loans finance.</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 sponsor buys a company with debt and equity, typically 50 to 60 percent debt today. Free cash flow services and pays down that debt, and the sponsor exits in five years at a target multiple. </w:t>
      </w:r>
      <w:r>
        <w:rPr>
          <w:rFonts w:ascii="Arial" w:hAnsi="Arial" w:cs="Arial" w:eastAsia="Arial"/>
          <w:b/>
          <w:color w:val="000000"/>
          <w:sz w:val="22"/>
          <w:u w:val="none"/>
        </w:rPr>
        <w:t>As the lender in an LBO, your only question is whether the cash flows cover the debt and how thick the cushion beneath you is.</w:t>
      </w:r>
    </w:p>
    <w:p>
      <w:pPr>
        <w:spacing w:line="480" w:lineRule="auto" w:before="0" w:after="0"/>
      </w:pPr>
      <w:r>
        <w:rPr>
          <w:rFonts w:ascii="Arial" w:hAnsi="Arial" w:cs="Arial" w:eastAsia="Arial"/>
          <w:b/>
          <w:color w:val="000000"/>
          <w:sz w:val="28"/>
          <w:u w:val="single"/>
        </w:rPr>
        <w:t>8. What's the difference between private credit and a syndicated leveraged loan?</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understand the product you'd be underwriting.</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 syndicated loan is arranged by banks and sold to many investors in the broadly syndicated market. A private credit loan is originated and held directly by one lender or a small club. </w:t>
      </w:r>
      <w:r>
        <w:rPr>
          <w:rFonts w:ascii="Arial" w:hAnsi="Arial" w:cs="Arial" w:eastAsia="Arial"/>
          <w:b/>
          <w:color w:val="000000"/>
          <w:sz w:val="22"/>
          <w:u w:val="none"/>
        </w:rPr>
        <w:t>Private credit trades liquidity for control: you hold the paper, so you set the covenants and own the relationship through any workout.</w:t>
      </w:r>
    </w:p>
    <w:p>
      <w:pPr>
        <w:spacing w:line="480" w:lineRule="auto" w:before="0" w:after="0"/>
      </w:pPr>
      <w:r>
        <w:rPr>
          <w:rFonts w:ascii="Arial" w:hAnsi="Arial" w:cs="Arial" w:eastAsia="Arial"/>
          <w:b/>
          <w:color w:val="000000"/>
          <w:sz w:val="28"/>
          <w:u w:val="single"/>
        </w:rPr>
        <w:t>9. What's the difference between senior, mezzanine, and unitranche debt?</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Capital structure fluency, which is the language of the job.</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Senior debt sits at the top, secured and first to be repaid. Mezzanine is junior, often unsecured, higher yielding, and sometimes carries equity warrants. </w:t>
      </w:r>
      <w:r>
        <w:rPr>
          <w:rFonts w:ascii="Arial" w:hAnsi="Arial" w:cs="Arial" w:eastAsia="Arial"/>
          <w:b/>
          <w:color w:val="000000"/>
          <w:sz w:val="22"/>
          <w:u w:val="none"/>
        </w:rPr>
        <w:t>Unitranche blends senior and junior into a single facility at one blended rate, which is a private credit staple because one lender can underwrite the whole thing.</w:t>
      </w:r>
    </w:p>
    <w:p>
      <w:pPr>
        <w:spacing w:line="480" w:lineRule="auto" w:before="0" w:after="0"/>
      </w:pPr>
      <w:r>
        <w:rPr>
          <w:rFonts w:ascii="Arial" w:hAnsi="Arial" w:cs="Arial" w:eastAsia="Arial"/>
          <w:b/>
          <w:color w:val="000000"/>
          <w:sz w:val="36"/>
          <w:u w:val="none"/>
        </w:rPr>
        <w:t>Credit-specific private credit interview questions</w:t>
      </w:r>
    </w:p>
    <w:p>
      <w:pPr>
        <w:spacing w:line="480" w:lineRule="auto" w:before="0" w:after="0"/>
      </w:pPr>
      <w:r>
        <w:rPr>
          <w:rFonts w:ascii="Arial" w:hAnsi="Arial" w:cs="Arial" w:eastAsia="Arial"/>
          <w:b/>
          <w:color w:val="000000"/>
          <w:sz w:val="28"/>
          <w:u w:val="single"/>
        </w:rPr>
        <w:t>10. Walk me through the debt waterfall.</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know how recovery actually works in a default.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In a liquidation or restructuring, proceeds flow top down: secured senior lenders first, then second lien, then unsecured and subordinated debt, then preferred, then common equity last. </w:t>
      </w:r>
      <w:r>
        <w:rPr>
          <w:rFonts w:ascii="Arial" w:hAnsi="Arial" w:cs="Arial" w:eastAsia="Arial"/>
          <w:b/>
          <w:color w:val="000000"/>
          <w:sz w:val="22"/>
          <w:u w:val="none"/>
        </w:rPr>
        <w:t>Where you sit in the waterfall determines your recovery, so the whole job is sitting high enough that the assets cover your claim.</w:t>
      </w:r>
    </w:p>
    <w:p>
      <w:pPr>
        <w:spacing w:line="480" w:lineRule="auto" w:before="0" w:after="0"/>
      </w:pPr>
      <w:r>
        <w:rPr>
          <w:rFonts w:ascii="Arial" w:hAnsi="Arial" w:cs="Arial" w:eastAsia="Arial"/>
          <w:b/>
          <w:color w:val="000000"/>
          <w:sz w:val="28"/>
          <w:u w:val="single"/>
        </w:rPr>
        <w:t>11. What's the difference between maintenance and incurrence covenants?</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Covenant mechanics, the lender's main protection.</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 maintenance covenant is tested every quarter regardless of any action, like keeping leverage below a set level. An incurrence covenant is only tested when the borrower acts, like raising debt or paying a dividend. </w:t>
      </w:r>
      <w:r>
        <w:rPr>
          <w:rFonts w:ascii="Arial" w:hAnsi="Arial" w:cs="Arial" w:eastAsia="Arial"/>
          <w:b/>
          <w:color w:val="000000"/>
          <w:sz w:val="22"/>
          <w:u w:val="none"/>
        </w:rPr>
        <w:t>Maintenance covenants are the protection private credit keeps when the syndicated market gives it up.</w:t>
      </w:r>
    </w:p>
    <w:p>
      <w:pPr>
        <w:spacing w:line="480" w:lineRule="auto" w:before="0" w:after="0"/>
      </w:pPr>
      <w:r>
        <w:rPr>
          <w:rFonts w:ascii="Arial" w:hAnsi="Arial" w:cs="Arial" w:eastAsia="Arial"/>
          <w:b/>
          <w:color w:val="000000"/>
          <w:sz w:val="28"/>
          <w:u w:val="single"/>
        </w:rPr>
        <w:t>12. How do you measure a company's leverage?</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can size risk with the right ratio.</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Total debt divided by EBITDA is the standard. Refine it with net leverage, which nets out cash, and compare senior leverage to total leverage to see how much sits ahead of and behind you. </w:t>
      </w:r>
      <w:r>
        <w:rPr>
          <w:rFonts w:ascii="Arial" w:hAnsi="Arial" w:cs="Arial" w:eastAsia="Arial"/>
          <w:b/>
          <w:color w:val="000000"/>
          <w:sz w:val="22"/>
          <w:u w:val="none"/>
        </w:rPr>
        <w:t>Leverage is only honest after you strip out aggressive EBITDA addbacks.</w:t>
      </w:r>
    </w:p>
    <w:p>
      <w:pPr>
        <w:spacing w:line="480" w:lineRule="auto" w:before="0" w:after="0"/>
      </w:pPr>
      <w:r>
        <w:rPr>
          <w:rFonts w:ascii="Arial" w:hAnsi="Arial" w:cs="Arial" w:eastAsia="Arial"/>
          <w:b/>
          <w:color w:val="000000"/>
          <w:sz w:val="28"/>
          <w:u w:val="single"/>
        </w:rPr>
        <w:t>13. How do you measure a borrower's ability to service its debt?</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The other half of credit: not just how much debt, but whether cash covers it.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Interest coverage, EBITDA divided by interest expense, tells you how comfortably the borrower pays interest. The fixed charge coverage ratio goes further by including mandatory amortization and other fixed costs. </w:t>
      </w:r>
      <w:r>
        <w:rPr>
          <w:rFonts w:ascii="Arial" w:hAnsi="Arial" w:cs="Arial" w:eastAsia="Arial"/>
          <w:b/>
          <w:color w:val="000000"/>
          <w:sz w:val="22"/>
          <w:u w:val="none"/>
        </w:rPr>
        <w:t>A borrower can carry high leverage and still be a fine credit if coverage is strong and cash flow is stable, which is why the two are read together.</w:t>
      </w:r>
    </w:p>
    <w:p>
      <w:pPr>
        <w:spacing w:line="480" w:lineRule="auto" w:before="0" w:after="0"/>
      </w:pPr>
      <w:r>
        <w:rPr>
          <w:rFonts w:ascii="Arial" w:hAnsi="Arial" w:cs="Arial" w:eastAsia="Arial"/>
          <w:b/>
          <w:color w:val="000000"/>
          <w:sz w:val="28"/>
          <w:u w:val="single"/>
        </w:rPr>
        <w:t>14. What's loan-to-value, and why does it matter to a lender?</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think about downside protection through asset coverage.</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Loan-to-value is your loan amount divided by the enterprise or asset value backing it. A 40 percent LTV means value could fall 60 percent before your principal is at risk. </w:t>
      </w:r>
      <w:r>
        <w:rPr>
          <w:rFonts w:ascii="Arial" w:hAnsi="Arial" w:cs="Arial" w:eastAsia="Arial"/>
          <w:b/>
          <w:color w:val="000000"/>
          <w:sz w:val="22"/>
          <w:u w:val="none"/>
        </w:rPr>
        <w:t>A lower loan-to-value means a thicker equity cushion sits beneath you, and that cushion is your margin of safety.</w:t>
      </w:r>
    </w:p>
    <w:p>
      <w:pPr>
        <w:spacing w:line="480" w:lineRule="auto" w:before="0" w:after="0"/>
      </w:pPr>
      <w:r>
        <w:rPr>
          <w:rFonts w:ascii="Arial" w:hAnsi="Arial" w:cs="Arial" w:eastAsia="Arial"/>
          <w:b/>
          <w:color w:val="000000"/>
          <w:sz w:val="28"/>
          <w:u w:val="single"/>
        </w:rPr>
        <w:t>15. How is a private credit loan priced?</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understand how the firm makes money.</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Pricing is usually a floating base rate plus a spread, for example SOFR plus 500 to 600 basis points on a senior direct loan, plus original issue discount and upfront fees. [VERIFY: current spread ranges, which move with the rate environment] </w:t>
      </w:r>
      <w:r>
        <w:rPr>
          <w:rFonts w:ascii="Arial" w:hAnsi="Arial" w:cs="Arial" w:eastAsia="Arial"/>
          <w:b/>
          <w:color w:val="000000"/>
          <w:sz w:val="22"/>
          <w:u w:val="none"/>
        </w:rPr>
        <w:t>The all-in yield is the spread plus the original issue discount plus the fees, not the headline rate alone.</w:t>
      </w:r>
    </w:p>
    <w:p>
      <w:pPr>
        <w:spacing w:line="480" w:lineRule="auto" w:before="0" w:after="0"/>
      </w:pPr>
      <w:r>
        <w:rPr>
          <w:rFonts w:ascii="Arial" w:hAnsi="Arial" w:cs="Arial" w:eastAsia="Arial"/>
          <w:b/>
          <w:color w:val="000000"/>
          <w:sz w:val="28"/>
          <w:u w:val="single"/>
        </w:rPr>
        <w:t>16. What happens when a borrower defaults?</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understand the workout side, where private credit experience compounds.</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 default can be a missed payment or a covenant breach. The lender negotiates from its position in the capital structure: amend and extend, inject capital, tighten terms, or push toward a restructuring. </w:t>
      </w:r>
      <w:r>
        <w:rPr>
          <w:rFonts w:ascii="Arial" w:hAnsi="Arial" w:cs="Arial" w:eastAsia="Arial"/>
          <w:b/>
          <w:color w:val="000000"/>
          <w:sz w:val="22"/>
          <w:u w:val="none"/>
        </w:rPr>
        <w:t>Because a private credit lender holds the whole loan, it sits at the center of the workout instead of waiting on a syndicate.</w:t>
      </w:r>
    </w:p>
    <w:p>
      <w:pPr>
        <w:spacing w:line="480" w:lineRule="auto" w:before="0" w:after="0"/>
      </w:pPr>
      <w:r>
        <w:rPr>
          <w:rFonts w:ascii="Arial" w:hAnsi="Arial" w:cs="Arial" w:eastAsia="Arial"/>
          <w:b/>
          <w:color w:val="000000"/>
          <w:sz w:val="28"/>
          <w:u w:val="single"/>
        </w:rPr>
        <w:t>17. What is a BDC?</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know the vehicles that hold much of this credit.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 Business Development Company is a publicly traded or non-traded vehicle that invests in private middle-market debt and equity. Ares Capital, Owl Rock, and Golub Capital all run large ones. </w:t>
      </w:r>
      <w:r>
        <w:rPr>
          <w:rFonts w:ascii="Arial" w:hAnsi="Arial" w:cs="Arial" w:eastAsia="Arial"/>
          <w:b/>
          <w:color w:val="000000"/>
          <w:sz w:val="22"/>
          <w:u w:val="none"/>
        </w:rPr>
        <w:t>BDCs are how much of private credit actually gets funded, which is why interviewers expect you to know them.</w:t>
      </w:r>
    </w:p>
    <w:p>
      <w:pPr>
        <w:spacing w:line="480" w:lineRule="auto" w:before="0" w:after="0"/>
      </w:pPr>
      <w:r>
        <w:rPr>
          <w:rFonts w:ascii="Arial" w:hAnsi="Arial" w:cs="Arial" w:eastAsia="Arial"/>
          <w:b/>
          <w:color w:val="000000"/>
          <w:sz w:val="36"/>
          <w:u w:val="none"/>
        </w:rPr>
        <w:t>Credit-instinct private credit interview questions</w:t>
      </w:r>
    </w:p>
    <w:p>
      <w:pPr>
        <w:spacing w:line="480" w:lineRule="auto" w:before="0" w:after="0"/>
      </w:pPr>
      <w:r>
        <w:rPr>
          <w:rFonts w:ascii="Arial" w:hAnsi="Arial" w:cs="Arial" w:eastAsia="Arial"/>
          <w:b/>
          <w:color w:val="000000"/>
          <w:sz w:val="28"/>
          <w:u w:val="single"/>
        </w:rPr>
        <w:t>18. Here's a company. Would you lend to it?</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Credit instinct. This is the question that decides outcomes.</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Don't answer yes or no. Give a framework: free cash flow and its stability, leverage versus industry comparables, the assets backing the loan and the LTV, the covenants you'd require, and the scenario that would make you walk. </w:t>
      </w:r>
      <w:r>
        <w:rPr>
          <w:rFonts w:ascii="Arial" w:hAnsi="Arial" w:cs="Arial" w:eastAsia="Arial"/>
          <w:b/>
          <w:color w:val="000000"/>
          <w:sz w:val="22"/>
          <w:u w:val="none"/>
        </w:rPr>
        <w:t>Candidates who answer the would-you-lend question with structure pass first rounds, and candidates who reach for a yes or no get cut even after nailing every modeling question.</w:t>
      </w:r>
    </w:p>
    <w:p>
      <w:pPr>
        <w:spacing w:line="480" w:lineRule="auto" w:before="0" w:after="0"/>
      </w:pPr>
      <w:r>
        <w:rPr>
          <w:rFonts w:ascii="Arial" w:hAnsi="Arial" w:cs="Arial" w:eastAsia="Arial"/>
          <w:b/>
          <w:color w:val="000000"/>
          <w:sz w:val="28"/>
          <w:u w:val="single"/>
        </w:rPr>
        <w:t>19. What makes a good versus a bad private credit investment?</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you've internalized what lenders actually want.</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A good credit has stable cash flow, a real asset or enterprise-value cushion, reasonable leverage, tight covenants, and a sponsor with skin in the game. A bad credit is cyclical, thinly covered, aggressively levered on adjusted EBITDA, and lent on loose terms. </w:t>
      </w:r>
      <w:r>
        <w:rPr>
          <w:rFonts w:ascii="Arial" w:hAnsi="Arial" w:cs="Arial" w:eastAsia="Arial"/>
          <w:b/>
          <w:color w:val="000000"/>
          <w:sz w:val="22"/>
          <w:u w:val="none"/>
        </w:rPr>
        <w:t>Lenders want boring and durable credits, not exciting and fragile ones.</w:t>
      </w:r>
    </w:p>
    <w:p>
      <w:pPr>
        <w:spacing w:line="480" w:lineRule="auto" w:before="0" w:after="0"/>
      </w:pPr>
      <w:r>
        <w:rPr>
          <w:rFonts w:ascii="Arial" w:hAnsi="Arial" w:cs="Arial" w:eastAsia="Arial"/>
          <w:b/>
          <w:color w:val="000000"/>
          <w:sz w:val="28"/>
          <w:u w:val="single"/>
        </w:rPr>
        <w:t>20. What credit risk worries you most in the market right now?</w:t>
      </w:r>
    </w:p>
    <w:p>
      <w:pPr>
        <w:pStyle w:val="ListBullet"/>
        <w:spacing w:line="480" w:lineRule="auto" w:before="0" w:after="0"/>
      </w:pPr>
      <w:r>
        <w:rPr>
          <w:rFonts w:ascii="Arial" w:hAnsi="Arial" w:cs="Arial" w:eastAsia="Arial"/>
          <w:b/>
          <w:color w:val="000000"/>
          <w:sz w:val="22"/>
          <w:u w:val="none"/>
        </w:rPr>
        <w:t>What they're testing:</w:t>
      </w:r>
      <w:r>
        <w:rPr>
          <w:rFonts w:ascii="Arial" w:hAnsi="Arial" w:cs="Arial" w:eastAsia="Arial"/>
          <w:b w:val="0"/>
          <w:color w:val="000000"/>
          <w:sz w:val="22"/>
          <w:u w:val="none"/>
        </w:rPr>
        <w:t xml:space="preserve"> Whether you follow the asset class and can hold a view.</w:t>
      </w:r>
    </w:p>
    <w:p>
      <w:pPr>
        <w:pStyle w:val="ListBullet"/>
        <w:spacing w:line="480" w:lineRule="auto" w:before="0" w:after="0"/>
      </w:pPr>
      <w:r>
        <w:rPr>
          <w:rFonts w:ascii="Arial" w:hAnsi="Arial" w:cs="Arial" w:eastAsia="Arial"/>
          <w:b/>
          <w:color w:val="000000"/>
          <w:sz w:val="22"/>
          <w:u w:val="none"/>
        </w:rPr>
        <w:t>How to answer:</w:t>
      </w:r>
      <w:r>
        <w:rPr>
          <w:rFonts w:ascii="Arial" w:hAnsi="Arial" w:cs="Arial" w:eastAsia="Arial"/>
          <w:b w:val="0"/>
          <w:color w:val="000000"/>
          <w:sz w:val="22"/>
          <w:u w:val="none"/>
        </w:rPr>
        <w:t xml:space="preserve"> Pick a real theme and defend it: loosening underwriting standards as capital floods the space, rising stress in middle-market borrowers after years of higher base rates, or the blurring line between private credit and distressed. [VERIFY: confirm the current market narrative the week of your interview] </w:t>
      </w:r>
      <w:r>
        <w:rPr>
          <w:rFonts w:ascii="Arial" w:hAnsi="Arial" w:cs="Arial" w:eastAsia="Arial"/>
          <w:b/>
          <w:color w:val="000000"/>
          <w:sz w:val="22"/>
          <w:u w:val="none"/>
        </w:rPr>
        <w:t>Lenders are paid to worry, so walk in with one specific, defensible concern about the market.</w:t>
      </w:r>
    </w:p>
    <w:p>
      <w:pPr>
        <w:spacing w:line="480" w:lineRule="auto" w:before="0" w:after="0"/>
      </w:pPr>
      <w:r>
        <w:rPr>
          <w:rFonts w:ascii="Arial" w:hAnsi="Arial" w:cs="Arial" w:eastAsia="Arial"/>
          <w:b/>
          <w:color w:val="000000"/>
          <w:sz w:val="36"/>
          <w:u w:val="none"/>
        </w:rPr>
        <w:t>What's not on this list</w:t>
      </w:r>
    </w:p>
    <w:p>
      <w:pPr>
        <w:spacing w:line="480" w:lineRule="auto" w:before="0" w:after="0"/>
      </w:pPr>
      <w:r>
        <w:rPr>
          <w:rFonts w:ascii="Arial" w:hAnsi="Arial" w:cs="Arial" w:eastAsia="Arial"/>
          <w:b w:val="0"/>
          <w:color w:val="000000"/>
          <w:sz w:val="22"/>
          <w:u w:val="none"/>
        </w:rPr>
        <w:t xml:space="preserve">These are the core questions, but a few things are not on this list. Mega-fund credit arms like Apollo Credit and Ares often add a case study or a written credit pitch, where you size a real borrower and defend a recommendation under time pressure. Bulge bracket credit desks layer these credit questions on top of a standard IB technical round, so prep the IB set too, while dedicated direct lenders push hardest on covenant and BDC mechanics. </w:t>
      </w:r>
      <w:r>
        <w:rPr>
          <w:rFonts w:ascii="Arial" w:hAnsi="Arial" w:cs="Arial" w:eastAsia="Arial"/>
          <w:b/>
          <w:color w:val="000000"/>
          <w:sz w:val="22"/>
          <w:u w:val="none"/>
        </w:rPr>
        <w:t>Match your prep to the firm's lane, because walking into a direct lender prepped for a generalist buy-side case gets you cut.</w:t>
      </w:r>
    </w:p>
    <w:p>
      <w:pPr>
        <w:spacing w:line="480" w:lineRule="auto" w:before="0" w:after="0"/>
      </w:pPr>
      <w:r>
        <w:rPr>
          <w:rFonts w:ascii="Arial" w:hAnsi="Arial" w:cs="Arial" w:eastAsia="Arial"/>
          <w:b/>
          <w:color w:val="000000"/>
          <w:sz w:val="36"/>
          <w:u w:val="none"/>
        </w:rPr>
        <w:t>How to drill these private credit interview questions</w:t>
      </w:r>
    </w:p>
    <w:p>
      <w:pPr>
        <w:spacing w:line="480" w:lineRule="auto" w:before="0" w:after="0"/>
      </w:pPr>
      <w:r>
        <w:rPr>
          <w:rFonts w:ascii="Arial" w:hAnsi="Arial" w:cs="Arial" w:eastAsia="Arial"/>
          <w:b w:val="0"/>
          <w:color w:val="000000"/>
          <w:sz w:val="22"/>
          <w:u w:val="none"/>
        </w:rPr>
        <w:t>Don't memorize answers. Build the structure for each question type, then practice giving fresh answers out loud under pressure. Run five technicals a day for two weeks, then mock interviews with someone pushing back on your credit logic.</w:t>
      </w:r>
    </w:p>
    <w:p>
      <w:pPr>
        <w:spacing w:line="480" w:lineRule="auto" w:before="0" w:after="0"/>
      </w:pPr>
      <w:r>
        <w:rPr>
          <w:rFonts w:ascii="Arial" w:hAnsi="Arial" w:cs="Arial" w:eastAsia="Arial"/>
          <w:b w:val="0"/>
          <w:color w:val="000000"/>
          <w:sz w:val="22"/>
          <w:u w:val="none"/>
        </w:rPr>
        <w:t xml:space="preserve">The highest-return prep is rebuilding your instinct on the would-you-lend question. Pull a 10-K for a company with stressed credit, map its cap table, calculate leverage and coverage, and write the covenant package you'd require to lend. Do that three times and the credit-instinct questions stop being scary. For background, </w:t>
      </w:r>
      <w:hyperlink r:id="rId9">
        <w:r>
          <w:rPr>
            <w:rFonts w:ascii="Arial" w:hAnsi="Arial" w:cs="Arial" w:eastAsia="Arial"/>
            <w:sz w:val="22"/>
            <w:color w:val="0563C1"/>
            <w:u w:val="single"/>
          </w:rPr>
          <w:t xml:space="preserve">Mergers &amp; Inquisitions</w:t>
        </w:r>
      </w:hyperlink>
      <w:r>
        <w:rPr>
          <w:rFonts w:ascii="Arial" w:hAnsi="Arial" w:cs="Arial" w:eastAsia="Arial"/>
          <w:b w:val="0"/>
          <w:color w:val="000000"/>
          <w:sz w:val="22"/>
          <w:u w:val="none"/>
        </w:rPr>
        <w:t xml:space="preserve"> covers the technicals and </w:t>
      </w:r>
      <w:hyperlink r:id="rId10">
        <w:r>
          <w:rPr>
            <w:rFonts w:ascii="Arial" w:hAnsi="Arial" w:cs="Arial" w:eastAsia="Arial"/>
            <w:sz w:val="22"/>
            <w:color w:val="0563C1"/>
            <w:u w:val="single"/>
          </w:rPr>
          <w:t xml:space="preserve">Pari Passu</w:t>
        </w:r>
      </w:hyperlink>
      <w:r>
        <w:rPr>
          <w:rFonts w:ascii="Arial" w:hAnsi="Arial" w:cs="Arial" w:eastAsia="Arial"/>
          <w:b w:val="0"/>
          <w:color w:val="000000"/>
          <w:sz w:val="22"/>
          <w:u w:val="none"/>
        </w:rPr>
        <w:t xml:space="preserve"> is the best free newsletter for reading real credit situations.</w:t>
      </w:r>
    </w:p>
    <w:p>
      <w:pPr>
        <w:spacing w:line="480" w:lineRule="auto" w:before="0" w:after="0"/>
      </w:pPr>
      <w:r>
        <w:rPr>
          <w:rFonts w:ascii="Arial" w:hAnsi="Arial" w:cs="Arial" w:eastAsia="Arial"/>
          <w:b/>
          <w:color w:val="000000"/>
          <w:sz w:val="22"/>
          <w:u w:val="none"/>
        </w:rPr>
        <w:t>The candidates who land private credit offers walked in able to size a credit, not just build a model, and that instinct is built in the weeks before the interview, not the night before.</w:t>
      </w:r>
      <w:r>
        <w:rPr>
          <w:rFonts w:ascii="Arial" w:hAnsi="Arial" w:cs="Arial" w:eastAsia="Arial"/>
          <w:b w:val="0"/>
          <w:color w:val="000000"/>
          <w:sz w:val="22"/>
          <w:u w:val="none"/>
        </w:rPr>
        <w:t xml:space="preserve"> Start with the would-you-lend reps. Everything else on this list 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rgersandinquisitions.com" TargetMode="External"/><Relationship Id="rId10" Type="http://schemas.openxmlformats.org/officeDocument/2006/relationships/hyperlink" Target="https://restructuringnewsle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