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A Beginner's Guide to Private Credit</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private credit for undergrads: what the work is, the top firms, the recruiting timeline, salary, and how to actually break in.</w:t>
      </w:r>
    </w:p>
    <w:p>
      <w:pPr>
        <w:spacing w:line="480" w:lineRule="auto" w:before="0" w:after="0"/>
      </w:pPr>
      <w:r>
        <w:rPr>
          <w:rFonts w:ascii="Arial" w:hAnsi="Arial" w:cs="Arial" w:eastAsia="Arial"/>
          <w:b w:val="0"/>
          <w:color w:val="000000"/>
          <w:sz w:val="22"/>
          <w:u w:val="none"/>
        </w:rPr>
        <w:t>Private credit crossed $1.7 trillion in 2024 and is on a trajectory to pass $2.6 trillion by 2029. Firms like Ares, Apollo, Blackstone, Blue Owl, HPS, and Sixth Street have built private credit arms that now rival their PE arms in fee revenue and headcount. The buy-side has reorganized around private credit faster than the undergrad recruiting funnel has caught up.</w:t>
      </w:r>
    </w:p>
    <w:p>
      <w:pPr>
        <w:spacing w:line="480" w:lineRule="auto" w:before="0" w:after="0"/>
      </w:pPr>
      <w:r>
        <w:rPr>
          <w:rFonts w:ascii="Arial" w:hAnsi="Arial" w:cs="Arial" w:eastAsia="Arial"/>
          <w:b w:val="0"/>
          <w:color w:val="000000"/>
          <w:sz w:val="22"/>
          <w:u w:val="none"/>
        </w:rPr>
        <w:t xml:space="preserve">That gap is the opportunity for sophomores reading this now. </w:t>
      </w:r>
      <w:r>
        <w:rPr>
          <w:rFonts w:ascii="Arial" w:hAnsi="Arial" w:cs="Arial" w:eastAsia="Arial"/>
          <w:b/>
          <w:color w:val="000000"/>
          <w:sz w:val="22"/>
          <w:u w:val="none"/>
        </w:rPr>
        <w:t>The seats are real, the comp is competitive with PE, and materially fewer candidates apply to private credit than to mega-fund PE.</w:t>
      </w:r>
    </w:p>
    <w:p>
      <w:pPr>
        <w:spacing w:line="480" w:lineRule="auto" w:before="0" w:after="0"/>
      </w:pPr>
      <w:r>
        <w:rPr>
          <w:rFonts w:ascii="Arial" w:hAnsi="Arial" w:cs="Arial" w:eastAsia="Arial"/>
          <w:b w:val="0"/>
          <w:color w:val="000000"/>
          <w:sz w:val="22"/>
          <w:u w:val="none"/>
        </w:rPr>
        <w:t>As a Harvard alum who went through McKinsey's on-cycle recruiting and now runs WSG watching sophomores attempt the buy-side route every cycle, this is the playbook I'd hand a sophomore who said they wanted Ares private credit for Summer 2028.</w:t>
      </w:r>
    </w:p>
    <w:p>
      <w:pPr>
        <w:spacing w:line="480" w:lineRule="auto" w:before="0" w:after="0"/>
      </w:pPr>
      <w:r>
        <w:rPr>
          <w:rFonts w:ascii="Arial" w:hAnsi="Arial" w:cs="Arial" w:eastAsia="Arial"/>
          <w:b/>
          <w:color w:val="000000"/>
          <w:sz w:val="36"/>
          <w:u w:val="none"/>
        </w:rPr>
        <w:t>What is private credit?</w:t>
      </w:r>
    </w:p>
    <w:p>
      <w:pPr>
        <w:spacing w:line="480" w:lineRule="auto" w:before="0" w:after="0"/>
      </w:pPr>
      <w:r>
        <w:rPr>
          <w:rFonts w:ascii="Arial" w:hAnsi="Arial" w:cs="Arial" w:eastAsia="Arial"/>
          <w:b w:val="0"/>
          <w:color w:val="000000"/>
          <w:sz w:val="22"/>
          <w:u w:val="none"/>
        </w:rPr>
        <w:t>Private credit is non-bank lending. A private credit fund raises capital from LPs (pensions, endowments, insurance companies) and uses that capital to make loans directly to companies, usually middle-market and upper-middle-market businesses that need debt financing on terms the syndicated loan market won't give them.</w:t>
      </w:r>
    </w:p>
    <w:p>
      <w:pPr>
        <w:spacing w:line="480" w:lineRule="auto" w:before="0" w:after="0"/>
      </w:pPr>
      <w:r>
        <w:rPr>
          <w:rFonts w:ascii="Arial" w:hAnsi="Arial" w:cs="Arial" w:eastAsia="Arial"/>
          <w:b w:val="0"/>
          <w:color w:val="000000"/>
          <w:sz w:val="22"/>
          <w:u w:val="none"/>
        </w:rPr>
        <w:t>The fund collects interest, holds the loan, and gets paid back at maturity. That's the whole business. The complexity sits in credit underwriting, covenant structuring, and workout work when the borrower can't pay.</w:t>
      </w:r>
    </w:p>
    <w:p>
      <w:pPr>
        <w:spacing w:line="480" w:lineRule="auto" w:before="0" w:after="0"/>
      </w:pPr>
      <w:r>
        <w:rPr>
          <w:rFonts w:ascii="Arial" w:hAnsi="Arial" w:cs="Arial" w:eastAsia="Arial"/>
          <w:b/>
          <w:color w:val="000000"/>
          <w:sz w:val="36"/>
          <w:u w:val="none"/>
        </w:rPr>
        <w:t>Which firms hire undergrads into private credit?</w:t>
      </w:r>
    </w:p>
    <w:p>
      <w:pPr>
        <w:spacing w:line="480" w:lineRule="auto" w:before="0" w:after="0"/>
      </w:pPr>
      <w:r>
        <w:rPr>
          <w:rFonts w:ascii="Arial" w:hAnsi="Arial" w:cs="Arial" w:eastAsia="Arial"/>
          <w:b w:val="0"/>
          <w:color w:val="000000"/>
          <w:sz w:val="22"/>
          <w:u w:val="none"/>
        </w:rPr>
        <w:t>Three tiers worth knowing.</w:t>
      </w:r>
    </w:p>
    <w:p>
      <w:pPr>
        <w:spacing w:line="480" w:lineRule="auto" w:before="0" w:after="0"/>
      </w:pPr>
      <w:r>
        <w:rPr>
          <w:rFonts w:ascii="Arial" w:hAnsi="Arial" w:cs="Arial" w:eastAsia="Arial"/>
          <w:b/>
          <w:color w:val="000000"/>
          <w:sz w:val="22"/>
          <w:u w:val="none"/>
        </w:rPr>
        <w:t>Tier one is the credit arms of the mega-fund alternative asset managers.</w:t>
      </w:r>
      <w:r>
        <w:rPr>
          <w:rFonts w:ascii="Arial" w:hAnsi="Arial" w:cs="Arial" w:eastAsia="Arial"/>
          <w:b w:val="0"/>
          <w:color w:val="000000"/>
          <w:sz w:val="22"/>
          <w:u w:val="none"/>
        </w:rPr>
        <w:t xml:space="preserve"> Apollo Credit, Blackstone Credit (the old GSO franchise), KKR Credit, Ares, and Carlyle Credit hire undergrad Summer Analysts directly onto their credit investment teams. The recruiting calendar runs the sophomore-fall timeline that IB uses.</w:t>
      </w:r>
    </w:p>
    <w:p>
      <w:pPr>
        <w:spacing w:line="480" w:lineRule="auto" w:before="0" w:after="0"/>
      </w:pPr>
      <w:r>
        <w:rPr>
          <w:rFonts w:ascii="Arial" w:hAnsi="Arial" w:cs="Arial" w:eastAsia="Arial"/>
          <w:b/>
          <w:color w:val="000000"/>
          <w:sz w:val="22"/>
          <w:u w:val="none"/>
        </w:rPr>
        <w:t>Tier two is the dedicated private credit firms that have grown into their own brand category.</w:t>
      </w:r>
      <w:r>
        <w:rPr>
          <w:rFonts w:ascii="Arial" w:hAnsi="Arial" w:cs="Arial" w:eastAsia="Arial"/>
          <w:b w:val="0"/>
          <w:color w:val="000000"/>
          <w:sz w:val="22"/>
          <w:u w:val="none"/>
        </w:rPr>
        <w:t xml:space="preserve"> HPS, Sixth Street, Owl Rock (Blue Owl), Antares Capital, Golub Capital, and Monroe Capital hire smaller undergrad classes but the work is highly focused and the comp is strong.</w:t>
      </w:r>
    </w:p>
    <w:p>
      <w:pPr>
        <w:spacing w:line="480" w:lineRule="auto" w:before="0" w:after="0"/>
      </w:pPr>
      <w:r>
        <w:rPr>
          <w:rFonts w:ascii="Arial" w:hAnsi="Arial" w:cs="Arial" w:eastAsia="Arial"/>
          <w:b/>
          <w:color w:val="000000"/>
          <w:sz w:val="22"/>
          <w:u w:val="none"/>
        </w:rPr>
        <w:t>Tier three is the credit teams inside the bulge bracket banks.</w:t>
      </w:r>
      <w:r>
        <w:rPr>
          <w:rFonts w:ascii="Arial" w:hAnsi="Arial" w:cs="Arial" w:eastAsia="Arial"/>
          <w:b w:val="0"/>
          <w:color w:val="000000"/>
          <w:sz w:val="22"/>
          <w:u w:val="none"/>
        </w:rPr>
        <w:t xml:space="preserve"> JPMorgan, Goldman, Morgan Stanley, Bank of America, and Citi all run private credit franchises that hire from the same Summer Analyst funnel as IB.</w:t>
      </w:r>
    </w:p>
    <w:p>
      <w:pPr>
        <w:spacing w:line="480" w:lineRule="auto" w:before="0" w:after="0"/>
      </w:pPr>
      <w:r>
        <w:rPr>
          <w:rFonts w:ascii="Arial" w:hAnsi="Arial" w:cs="Arial" w:eastAsia="Arial"/>
          <w:b w:val="0"/>
          <w:color w:val="000000"/>
          <w:sz w:val="22"/>
          <w:u w:val="none"/>
        </w:rPr>
        <w:t>The honest filter: tier one is the most prestigious. Tier two is the most specialized. Tier three preserves the broadest career optionality.</w:t>
      </w:r>
    </w:p>
    <w:p>
      <w:pPr>
        <w:spacing w:line="480" w:lineRule="auto" w:before="0" w:after="0"/>
      </w:pPr>
      <w:r>
        <w:rPr>
          <w:rFonts w:ascii="Arial" w:hAnsi="Arial" w:cs="Arial" w:eastAsia="Arial"/>
          <w:b/>
          <w:color w:val="000000"/>
          <w:sz w:val="36"/>
          <w:u w:val="none"/>
        </w:rPr>
        <w:t>How hard is it to break into private credit, realistically?</w:t>
      </w:r>
    </w:p>
    <w:p>
      <w:pPr>
        <w:spacing w:line="480" w:lineRule="auto" w:before="0" w:after="0"/>
      </w:pPr>
      <w:r>
        <w:rPr>
          <w:rFonts w:ascii="Arial" w:hAnsi="Arial" w:cs="Arial" w:eastAsia="Arial"/>
          <w:b w:val="0"/>
          <w:color w:val="000000"/>
          <w:sz w:val="22"/>
          <w:u w:val="none"/>
        </w:rPr>
        <w:t>Less hard than mega-fund PE. Harder than middle-market IB.</w:t>
      </w:r>
    </w:p>
    <w:p>
      <w:pPr>
        <w:spacing w:line="480" w:lineRule="auto" w:before="0" w:after="0"/>
      </w:pPr>
      <w:r>
        <w:rPr>
          <w:rFonts w:ascii="Arial" w:hAnsi="Arial" w:cs="Arial" w:eastAsia="Arial"/>
          <w:b w:val="0"/>
          <w:color w:val="000000"/>
          <w:sz w:val="22"/>
          <w:u w:val="none"/>
        </w:rPr>
        <w:t xml:space="preserve">Acceptance rates for top private credit Summer Analyst programs run in the 1.5 to 3 percent range. The candidate pool is smaller than IB because most undergrads don't know to apply. </w:t>
      </w:r>
      <w:r>
        <w:rPr>
          <w:rFonts w:ascii="Arial" w:hAnsi="Arial" w:cs="Arial" w:eastAsia="Arial"/>
          <w:b/>
          <w:color w:val="000000"/>
          <w:sz w:val="22"/>
          <w:u w:val="none"/>
        </w:rPr>
        <w:t>A candidate with strong credit fundamentals and a real interest in the asset class can be competitive at a top private credit firm even from a non-target school.</w:t>
      </w:r>
    </w:p>
    <w:p>
      <w:pPr>
        <w:spacing w:line="480" w:lineRule="auto" w:before="0" w:after="0"/>
      </w:pPr>
      <w:r>
        <w:rPr>
          <w:rFonts w:ascii="Arial" w:hAnsi="Arial" w:cs="Arial" w:eastAsia="Arial"/>
          <w:b/>
          <w:color w:val="000000"/>
          <w:sz w:val="36"/>
          <w:u w:val="none"/>
        </w:rPr>
        <w:t>1. The work is credit underwriting, not deal execution</w:t>
      </w:r>
    </w:p>
    <w:p>
      <w:pPr>
        <w:spacing w:line="480" w:lineRule="auto" w:before="0" w:after="0"/>
      </w:pPr>
      <w:r>
        <w:rPr>
          <w:rFonts w:ascii="Arial" w:hAnsi="Arial" w:cs="Arial" w:eastAsia="Arial"/>
          <w:b w:val="0"/>
          <w:color w:val="000000"/>
          <w:sz w:val="22"/>
          <w:u w:val="none"/>
        </w:rPr>
        <w:t>This is the cleanest difference from IB.</w:t>
      </w:r>
    </w:p>
    <w:p>
      <w:pPr>
        <w:spacing w:line="480" w:lineRule="auto" w:before="0" w:after="0"/>
      </w:pPr>
      <w:r>
        <w:rPr>
          <w:rFonts w:ascii="Arial" w:hAnsi="Arial" w:cs="Arial" w:eastAsia="Arial"/>
          <w:b w:val="0"/>
          <w:color w:val="000000"/>
          <w:sz w:val="22"/>
          <w:u w:val="none"/>
        </w:rPr>
        <w:t>An IB analyst spends most of their time on transaction execution: live deal models, pitchbook formatting, diligence room management, MD support. The output is a closed transaction.</w:t>
      </w:r>
    </w:p>
    <w:p>
      <w:pPr>
        <w:spacing w:line="480" w:lineRule="auto" w:before="0" w:after="0"/>
      </w:pPr>
      <w:r>
        <w:rPr>
          <w:rFonts w:ascii="Arial" w:hAnsi="Arial" w:cs="Arial" w:eastAsia="Arial"/>
          <w:b w:val="0"/>
          <w:color w:val="000000"/>
          <w:sz w:val="22"/>
          <w:u w:val="none"/>
        </w:rPr>
        <w:t>A private credit analyst spends most of their time on credit underwriting and portfolio monitoring. You read 10-Ks, build operating models, stress-test downside scenarios, structure covenants, sit on management calls, and follow your portfolio borrowers quarter by quarter. The output is an investment decision and the maintenance of that decision over time.</w:t>
      </w:r>
    </w:p>
    <w:p>
      <w:pPr>
        <w:spacing w:line="480" w:lineRule="auto" w:before="0" w:after="0"/>
      </w:pPr>
      <w:r>
        <w:rPr>
          <w:rFonts w:ascii="Arial" w:hAnsi="Arial" w:cs="Arial" w:eastAsia="Arial"/>
          <w:b w:val="0"/>
          <w:color w:val="000000"/>
          <w:sz w:val="22"/>
          <w:u w:val="none"/>
        </w:rPr>
        <w:t>Hours typically run 60 to 75, versus 80 to 100 in IB. The day-to-day rhythm is portfolio-driven steady state with new originations layered on top.</w:t>
      </w:r>
    </w:p>
    <w:p>
      <w:pPr>
        <w:spacing w:line="480" w:lineRule="auto" w:before="0" w:after="0"/>
      </w:pPr>
      <w:r>
        <w:rPr>
          <w:rFonts w:ascii="Arial" w:hAnsi="Arial" w:cs="Arial" w:eastAsia="Arial"/>
          <w:b/>
          <w:color w:val="000000"/>
          <w:sz w:val="36"/>
          <w:u w:val="none"/>
        </w:rPr>
        <w:t>2. The recruiting timeline is the IB timeline but the funnel is different</w:t>
      </w:r>
    </w:p>
    <w:p>
      <w:pPr>
        <w:spacing w:line="480" w:lineRule="auto" w:before="0" w:after="0"/>
      </w:pPr>
      <w:r>
        <w:rPr>
          <w:rFonts w:ascii="Arial" w:hAnsi="Arial" w:cs="Arial" w:eastAsia="Arial"/>
          <w:b w:val="0"/>
          <w:color w:val="000000"/>
          <w:sz w:val="22"/>
          <w:u w:val="none"/>
        </w:rPr>
        <w:t>Private credit Summer Analyst programs at the mega-fund credit arms recruit on the same sophomore-fall to summer-after-junior cycle that IB does. Applications open in fall of sophomore year. Interviews run through winter and spring.</w:t>
      </w:r>
    </w:p>
    <w:p>
      <w:pPr>
        <w:spacing w:line="480" w:lineRule="auto" w:before="0" w:after="0"/>
      </w:pPr>
      <w:r>
        <w:rPr>
          <w:rFonts w:ascii="Arial" w:hAnsi="Arial" w:cs="Arial" w:eastAsia="Arial"/>
          <w:b w:val="0"/>
          <w:color w:val="000000"/>
          <w:sz w:val="22"/>
          <w:u w:val="none"/>
        </w:rPr>
        <w:t>The funnel size differs. A typical mega-fund credit Summer Analyst class is 15 to 40 seats compared to the 100-plus IB Summer Analyst class at the same firm.</w:t>
      </w:r>
    </w:p>
    <w:p>
      <w:pPr>
        <w:spacing w:line="480" w:lineRule="auto" w:before="0" w:after="0"/>
      </w:pPr>
      <w:r>
        <w:rPr>
          <w:rFonts w:ascii="Arial" w:hAnsi="Arial" w:cs="Arial" w:eastAsia="Arial"/>
          <w:b w:val="0"/>
          <w:color w:val="000000"/>
          <w:sz w:val="22"/>
          <w:u w:val="none"/>
        </w:rPr>
        <w:t xml:space="preserve">The interview is more credit-specific: cap table reading, leverage analysis, covenant mechanics, distressed scenarios. </w:t>
      </w:r>
      <w:r>
        <w:rPr>
          <w:rFonts w:ascii="Arial" w:hAnsi="Arial" w:cs="Arial" w:eastAsia="Arial"/>
          <w:b/>
          <w:color w:val="000000"/>
          <w:sz w:val="22"/>
          <w:u w:val="none"/>
        </w:rPr>
        <w:t>The candidates who win private credit Summer Analyst seats built their credit story in sophomore fall, not junior year.</w:t>
      </w:r>
    </w:p>
    <w:p>
      <w:pPr>
        <w:spacing w:line="480" w:lineRule="auto" w:before="0" w:after="0"/>
      </w:pPr>
      <w:r>
        <w:rPr>
          <w:rFonts w:ascii="Arial" w:hAnsi="Arial" w:cs="Arial" w:eastAsia="Arial"/>
          <w:b/>
          <w:color w:val="000000"/>
          <w:sz w:val="36"/>
          <w:u w:val="none"/>
        </w:rPr>
        <w:t>3. Compensation is competitive with PE at the analyst level</w:t>
      </w:r>
    </w:p>
    <w:p>
      <w:pPr>
        <w:spacing w:line="480" w:lineRule="auto" w:before="0" w:after="0"/>
      </w:pPr>
      <w:r>
        <w:rPr>
          <w:rFonts w:ascii="Arial" w:hAnsi="Arial" w:cs="Arial" w:eastAsia="Arial"/>
          <w:b w:val="0"/>
          <w:color w:val="000000"/>
          <w:sz w:val="22"/>
          <w:u w:val="none"/>
        </w:rPr>
        <w:t xml:space="preserve">First-year private credit analyst base salaries at the top firms run $130k to $150k in 2026, with bonuses adding another $50k to $100k for strong performers. </w:t>
      </w:r>
      <w:r>
        <w:rPr>
          <w:rFonts w:ascii="Arial" w:hAnsi="Arial" w:cs="Arial" w:eastAsia="Arial"/>
          <w:b/>
          <w:color w:val="000000"/>
          <w:sz w:val="22"/>
          <w:u w:val="none"/>
        </w:rPr>
        <w:t>Total all-in for a first-year private credit analyst sits within the range of mega-fund PE associate first-year comp.</w:t>
      </w:r>
    </w:p>
    <w:p>
      <w:pPr>
        <w:spacing w:line="480" w:lineRule="auto" w:before="0" w:after="0"/>
      </w:pPr>
      <w:r>
        <w:rPr>
          <w:rFonts w:ascii="Arial" w:hAnsi="Arial" w:cs="Arial" w:eastAsia="Arial"/>
          <w:b w:val="0"/>
          <w:color w:val="000000"/>
          <w:sz w:val="22"/>
          <w:u w:val="none"/>
        </w:rPr>
        <w:t>By year five to seven, top private credit investment professionals at the mega-fund credit arms can earn $500k to $1M-plus all-in. Carry exists in different structures than PE but the realized value can be material.</w:t>
      </w:r>
    </w:p>
    <w:p>
      <w:pPr>
        <w:spacing w:line="480" w:lineRule="auto" w:before="0" w:after="0"/>
      </w:pPr>
      <w:r>
        <w:rPr>
          <w:rFonts w:ascii="Arial" w:hAnsi="Arial" w:cs="Arial" w:eastAsia="Arial"/>
          <w:b w:val="0"/>
          <w:color w:val="000000"/>
          <w:sz w:val="22"/>
          <w:u w:val="none"/>
        </w:rPr>
        <w:t>The trade-off relative to PE is real. The floor in private credit is higher than the floor in PE. The ceiling is lower than the very top PE outcomes. The path is steadier.</w:t>
      </w:r>
    </w:p>
    <w:p>
      <w:pPr>
        <w:spacing w:line="480" w:lineRule="auto" w:before="0" w:after="0"/>
      </w:pPr>
      <w:r>
        <w:rPr>
          <w:rFonts w:ascii="Arial" w:hAnsi="Arial" w:cs="Arial" w:eastAsia="Arial"/>
          <w:b/>
          <w:color w:val="000000"/>
          <w:sz w:val="36"/>
          <w:u w:val="none"/>
        </w:rPr>
        <w:t>4. The interview tests three things and credit instinct is the one most candidates underprepare</w:t>
      </w:r>
    </w:p>
    <w:p>
      <w:pPr>
        <w:spacing w:line="480" w:lineRule="auto" w:before="0" w:after="0"/>
      </w:pPr>
      <w:r>
        <w:rPr>
          <w:rFonts w:ascii="Arial" w:hAnsi="Arial" w:cs="Arial" w:eastAsia="Arial"/>
          <w:b w:val="0"/>
          <w:color w:val="000000"/>
          <w:sz w:val="22"/>
          <w:u w:val="none"/>
        </w:rPr>
        <w:t>Private credit interviews test traditional IB technicals (three-statement modeling, DCF, LBO), credit-specific technicals (waterfalls, covenants, leverage and liquidity analysis), and credit instinct.</w:t>
      </w:r>
    </w:p>
    <w:p>
      <w:pPr>
        <w:spacing w:line="480" w:lineRule="auto" w:before="0" w:after="0"/>
      </w:pPr>
      <w:r>
        <w:rPr>
          <w:rFonts w:ascii="Arial" w:hAnsi="Arial" w:cs="Arial" w:eastAsia="Arial"/>
          <w:b w:val="0"/>
          <w:color w:val="000000"/>
          <w:sz w:val="22"/>
          <w:u w:val="none"/>
        </w:rPr>
        <w:t>Credit instinct is the one most undergrads aren't ready for.</w:t>
      </w:r>
    </w:p>
    <w:p>
      <w:pPr>
        <w:spacing w:line="480" w:lineRule="auto" w:before="0" w:after="0"/>
      </w:pPr>
      <w:r>
        <w:rPr>
          <w:rFonts w:ascii="Arial" w:hAnsi="Arial" w:cs="Arial" w:eastAsia="Arial"/>
          <w:b w:val="0"/>
          <w:color w:val="000000"/>
          <w:sz w:val="22"/>
          <w:u w:val="none"/>
        </w:rPr>
        <w:t>The interviewer will give you a company profile and ask whether you'd lend to them. The right answer isn't yes or no. The right answer is a structured framework: what's the borrower's free cash flow, what's their leverage relative to industry comparables, what's the asset coverage, what's the covenant package you'd require, and what scenarios would make you walk.</w:t>
      </w:r>
    </w:p>
    <w:p>
      <w:pPr>
        <w:spacing w:line="480" w:lineRule="auto" w:before="0" w:after="0"/>
      </w:pPr>
      <w:r>
        <w:rPr>
          <w:rFonts w:ascii="Arial" w:hAnsi="Arial" w:cs="Arial" w:eastAsia="Arial"/>
          <w:b/>
          <w:color w:val="000000"/>
          <w:sz w:val="22"/>
          <w:u w:val="none"/>
        </w:rPr>
        <w:t>Candidates who can answer the credit-instinct question with structure pass first rounds. Candidates who can't get cut even if they nailed every modeling question.</w:t>
      </w:r>
    </w:p>
    <w:p>
      <w:pPr>
        <w:spacing w:line="480" w:lineRule="auto" w:before="0" w:after="0"/>
      </w:pPr>
      <w:r>
        <w:rPr>
          <w:rFonts w:ascii="Arial" w:hAnsi="Arial" w:cs="Arial" w:eastAsia="Arial"/>
          <w:b w:val="0"/>
          <w:color w:val="000000"/>
          <w:sz w:val="22"/>
          <w:u w:val="none"/>
        </w:rPr>
        <w:t>The prep stack: Moyer's *Distressed Debt Analysis* for the credit fundamentals, Kricheff's *A Pragmatist's Guide to Leveraged Finance* for the vocabulary, and Michael Gatto's *The Credit Investor's Handbook* (the Silver Point partner's 2023 book) for the freshest take on private credit, leveraged loans, and distressed.</w:t>
      </w:r>
    </w:p>
    <w:p>
      <w:pPr>
        <w:spacing w:line="480" w:lineRule="auto" w:before="0" w:after="0"/>
      </w:pPr>
      <w:r>
        <w:rPr>
          <w:rFonts w:ascii="Arial" w:hAnsi="Arial" w:cs="Arial" w:eastAsia="Arial"/>
          <w:b/>
          <w:color w:val="000000"/>
          <w:sz w:val="36"/>
          <w:u w:val="none"/>
        </w:rPr>
        <w:t>5. Exits cluster in three buckets</w:t>
      </w:r>
    </w:p>
    <w:p>
      <w:pPr>
        <w:spacing w:line="480" w:lineRule="auto" w:before="0" w:after="0"/>
      </w:pPr>
      <w:r>
        <w:rPr>
          <w:rFonts w:ascii="Arial" w:hAnsi="Arial" w:cs="Arial" w:eastAsia="Arial"/>
          <w:b w:val="0"/>
          <w:color w:val="000000"/>
          <w:sz w:val="22"/>
          <w:u w:val="none"/>
        </w:rPr>
        <w:t xml:space="preserve">The most visible exit is laterally into a larger or more prestigious private credit firm. The lateral market is active. </w:t>
      </w:r>
      <w:r>
        <w:rPr>
          <w:rFonts w:ascii="Arial" w:hAnsi="Arial" w:cs="Arial" w:eastAsia="Arial"/>
          <w:b/>
          <w:color w:val="000000"/>
          <w:sz w:val="22"/>
          <w:u w:val="none"/>
        </w:rPr>
        <w:t>A first-year analyst at HPS who wants Apollo Credit has a clearer path than an IB analyst at a BB trying to make the same move.</w:t>
      </w:r>
    </w:p>
    <w:p>
      <w:pPr>
        <w:spacing w:line="480" w:lineRule="auto" w:before="0" w:after="0"/>
      </w:pPr>
      <w:r>
        <w:rPr>
          <w:rFonts w:ascii="Arial" w:hAnsi="Arial" w:cs="Arial" w:eastAsia="Arial"/>
          <w:b w:val="0"/>
          <w:color w:val="000000"/>
          <w:sz w:val="22"/>
          <w:u w:val="none"/>
        </w:rPr>
        <w:t>The second exit is distressed hedge funds. Elliott, Davidson Kempner, Anchorage, Centerbridge, Silver Point. Private credit experience reads cleanly to distressed HFs because the underwriting muscle is directly transferable.</w:t>
      </w:r>
    </w:p>
    <w:p>
      <w:pPr>
        <w:spacing w:line="480" w:lineRule="auto" w:before="0" w:after="0"/>
      </w:pPr>
      <w:r>
        <w:rPr>
          <w:rFonts w:ascii="Arial" w:hAnsi="Arial" w:cs="Arial" w:eastAsia="Arial"/>
          <w:b w:val="0"/>
          <w:color w:val="000000"/>
          <w:sz w:val="22"/>
          <w:u w:val="none"/>
        </w:rPr>
        <w:t>The third exit, and the one undergrads underweight, is direct lending or BDC leadership at firms like Ares Capital BDC, Owl Rock BDC, and Golub Capital BDC. These are publicly traded vehicles with permanent capital and senior portfolio management roles that compound into long-tenure seats.</w:t>
      </w:r>
    </w:p>
    <w:p>
      <w:pPr>
        <w:spacing w:line="480" w:lineRule="auto" w:before="0" w:after="0"/>
      </w:pPr>
      <w:r>
        <w:rPr>
          <w:rFonts w:ascii="Arial" w:hAnsi="Arial" w:cs="Arial" w:eastAsia="Arial"/>
          <w:b/>
          <w:color w:val="000000"/>
          <w:sz w:val="36"/>
          <w:u w:val="none"/>
        </w:rPr>
        <w:t>6. The interview specifics differ by firm sub-type</w:t>
      </w:r>
    </w:p>
    <w:p>
      <w:pPr>
        <w:spacing w:line="480" w:lineRule="auto" w:before="0" w:after="0"/>
      </w:pPr>
      <w:r>
        <w:rPr>
          <w:rFonts w:ascii="Arial" w:hAnsi="Arial" w:cs="Arial" w:eastAsia="Arial"/>
          <w:b w:val="0"/>
          <w:color w:val="000000"/>
          <w:sz w:val="22"/>
          <w:u w:val="none"/>
        </w:rPr>
        <w:t>Mega-fund credit arms test more like a generalist buy-side interview. Expect a case study, a stock or credit pitch, technicals across modeling and structuring, and a fit round.</w:t>
      </w:r>
    </w:p>
    <w:p>
      <w:pPr>
        <w:spacing w:line="480" w:lineRule="auto" w:before="0" w:after="0"/>
      </w:pPr>
      <w:r>
        <w:rPr>
          <w:rFonts w:ascii="Arial" w:hAnsi="Arial" w:cs="Arial" w:eastAsia="Arial"/>
          <w:b w:val="0"/>
          <w:color w:val="000000"/>
          <w:sz w:val="22"/>
          <w:u w:val="none"/>
        </w:rPr>
        <w:t>Dedicated direct-lending shops test more on credit-specific mechanics. Expect cap table reading, covenant questions, BDC math if the firm runs a public vehicle, and detailed borrower-side scenarios.</w:t>
      </w:r>
    </w:p>
    <w:p>
      <w:pPr>
        <w:spacing w:line="480" w:lineRule="auto" w:before="0" w:after="0"/>
      </w:pPr>
      <w:r>
        <w:rPr>
          <w:rFonts w:ascii="Arial" w:hAnsi="Arial" w:cs="Arial" w:eastAsia="Arial"/>
          <w:b w:val="0"/>
          <w:color w:val="000000"/>
          <w:sz w:val="22"/>
          <w:u w:val="none"/>
        </w:rPr>
        <w:t>BB credit teams test more like IB with credit overlay. Expect IB-standard technicals, a behavioral round, and credit-specific stress scenarios layered on top.</w:t>
      </w:r>
    </w:p>
    <w:p>
      <w:pPr>
        <w:spacing w:line="480" w:lineRule="auto" w:before="0" w:after="0"/>
      </w:pPr>
      <w:r>
        <w:rPr>
          <w:rFonts w:ascii="Arial" w:hAnsi="Arial" w:cs="Arial" w:eastAsia="Arial"/>
          <w:b/>
          <w:color w:val="000000"/>
          <w:sz w:val="22"/>
          <w:u w:val="none"/>
        </w:rPr>
        <w:t>Tailor your prep to the firm sub-type you're targeting.</w:t>
      </w:r>
      <w:r>
        <w:rPr>
          <w:rFonts w:ascii="Arial" w:hAnsi="Arial" w:cs="Arial" w:eastAsia="Arial"/>
          <w:b w:val="0"/>
          <w:color w:val="000000"/>
          <w:sz w:val="22"/>
          <w:u w:val="none"/>
        </w:rPr>
        <w:t xml:space="preserve"> Walking into an Apollo Credit interview prepped for an Antares-style direct lending interview gets you cut, and vice versa.</w:t>
      </w:r>
    </w:p>
    <w:p>
      <w:pPr>
        <w:spacing w:line="480" w:lineRule="auto" w:before="0" w:after="0"/>
      </w:pPr>
      <w:r>
        <w:rPr>
          <w:rFonts w:ascii="Arial" w:hAnsi="Arial" w:cs="Arial" w:eastAsia="Arial"/>
          <w:b/>
          <w:color w:val="000000"/>
          <w:sz w:val="36"/>
          <w:u w:val="none"/>
        </w:rPr>
        <w:t>7. Private credit is moving into stressed and distressed territory faster than its public peers</w:t>
      </w:r>
    </w:p>
    <w:p>
      <w:pPr>
        <w:spacing w:line="480" w:lineRule="auto" w:before="0" w:after="0"/>
      </w:pPr>
      <w:r>
        <w:rPr>
          <w:rFonts w:ascii="Arial" w:hAnsi="Arial" w:cs="Arial" w:eastAsia="Arial"/>
          <w:b w:val="0"/>
          <w:color w:val="000000"/>
          <w:sz w:val="22"/>
          <w:u w:val="none"/>
        </w:rPr>
        <w:t xml:space="preserve">Private credit firms now lead the bidder side of most middle-market LMEs (liability management exercises), the post-Serta playbook that has dominated 2024-2026 restructuring activity. </w:t>
      </w:r>
      <w:r>
        <w:rPr>
          <w:rFonts w:ascii="Arial" w:hAnsi="Arial" w:cs="Arial" w:eastAsia="Arial"/>
          <w:b/>
          <w:color w:val="000000"/>
          <w:sz w:val="22"/>
          <w:u w:val="none"/>
        </w:rPr>
        <w:t>A sophomore who picks private credit now is picking the seat at the center of the next decade of distressed and stressed-credit transaction activity, not just plain-vanilla direct lending.</w:t>
      </w:r>
    </w:p>
    <w:p>
      <w:pPr>
        <w:spacing w:line="480" w:lineRule="auto" w:before="0" w:after="0"/>
      </w:pPr>
      <w:r>
        <w:rPr>
          <w:rFonts w:ascii="Arial" w:hAnsi="Arial" w:cs="Arial" w:eastAsia="Arial"/>
          <w:b w:val="0"/>
          <w:color w:val="000000"/>
          <w:sz w:val="22"/>
          <w:u w:val="none"/>
        </w:rPr>
        <w:t>Private credit analysts in 2026 are doing more LME work, more stressed credit, and more workout-adjacent diligence than their predecessors did five years ago. The boundary between private credit and restructuring continues to blur.</w:t>
      </w:r>
    </w:p>
    <w:p>
      <w:pPr>
        <w:spacing w:line="480" w:lineRule="auto" w:before="0" w:after="0"/>
      </w:pPr>
      <w:r>
        <w:rPr>
          <w:rFonts w:ascii="Arial" w:hAnsi="Arial" w:cs="Arial" w:eastAsia="Arial"/>
          <w:b/>
          <w:color w:val="000000"/>
          <w:sz w:val="36"/>
          <w:u w:val="none"/>
        </w:rPr>
        <w:t>Say this, don't say that</w:t>
      </w:r>
    </w:p>
    <w:p>
      <w:pPr>
        <w:spacing w:line="480" w:lineRule="auto" w:before="0" w:after="0"/>
      </w:pPr>
      <w:r>
        <w:rPr>
          <w:rFonts w:ascii="Arial" w:hAnsi="Arial" w:cs="Arial" w:eastAsia="Arial"/>
          <w:b/>
          <w:color w:val="000000"/>
          <w:sz w:val="22"/>
          <w:u w:val="none"/>
        </w:rPr>
        <w:t>Why private credit over investment banking?</w:t>
      </w:r>
    </w:p>
    <w:p>
      <w:pPr>
        <w:spacing w:line="480" w:lineRule="auto" w:before="0" w:after="0"/>
      </w:pPr>
      <w:r>
        <w:rPr>
          <w:rFonts w:ascii="Arial" w:hAnsi="Arial" w:cs="Arial" w:eastAsia="Arial"/>
          <w:b w:val="0"/>
          <w:color w:val="000000"/>
          <w:sz w:val="22"/>
          <w:u w:val="none"/>
        </w:rPr>
        <w:t>Don't say: "Private credit has better hours and pays similarly."</w:t>
      </w:r>
    </w:p>
    <w:p>
      <w:pPr>
        <w:spacing w:line="480" w:lineRule="auto" w:before="0" w:after="0"/>
      </w:pPr>
      <w:r>
        <w:rPr>
          <w:rFonts w:ascii="Arial" w:hAnsi="Arial" w:cs="Arial" w:eastAsia="Arial"/>
          <w:b w:val="0"/>
          <w:color w:val="000000"/>
          <w:sz w:val="22"/>
          <w:u w:val="none"/>
        </w:rPr>
        <w:t>Say: "I want to be on the side of the table deciding whether to lend, not the side advising on a transaction. I read the Marelli Chapter 11 docket and the First Brands LME and I want the seat where I'd be sizing the credit risk, not the seat formatting the pitchbook."</w:t>
      </w:r>
    </w:p>
    <w:p>
      <w:pPr>
        <w:spacing w:line="480" w:lineRule="auto" w:before="0" w:after="0"/>
      </w:pPr>
      <w:r>
        <w:rPr>
          <w:rFonts w:ascii="Arial" w:hAnsi="Arial" w:cs="Arial" w:eastAsia="Arial"/>
          <w:b/>
          <w:color w:val="000000"/>
          <w:sz w:val="22"/>
          <w:u w:val="none"/>
        </w:rPr>
        <w:t>Why this private credit firm specifically?</w:t>
      </w:r>
    </w:p>
    <w:p>
      <w:pPr>
        <w:spacing w:line="480" w:lineRule="auto" w:before="0" w:after="0"/>
      </w:pPr>
      <w:r>
        <w:rPr>
          <w:rFonts w:ascii="Arial" w:hAnsi="Arial" w:cs="Arial" w:eastAsia="Arial"/>
          <w:b w:val="0"/>
          <w:color w:val="000000"/>
          <w:sz w:val="22"/>
          <w:u w:val="none"/>
        </w:rPr>
        <w:t>Don't say: "Because you're a leader in the space."</w:t>
      </w:r>
    </w:p>
    <w:p>
      <w:pPr>
        <w:spacing w:line="480" w:lineRule="auto" w:before="0" w:after="0"/>
      </w:pPr>
      <w:r>
        <w:rPr>
          <w:rFonts w:ascii="Arial" w:hAnsi="Arial" w:cs="Arial" w:eastAsia="Arial"/>
          <w:b w:val="0"/>
          <w:color w:val="000000"/>
          <w:sz w:val="22"/>
          <w:u w:val="none"/>
        </w:rPr>
        <w:t>Say: "Your direct lending franchise leans middle-market industrials and your recent senior secured loans into [specific borrower] reflect a discipline on covenants I want to learn from."</w:t>
      </w:r>
    </w:p>
    <w:p>
      <w:pPr>
        <w:spacing w:line="480" w:lineRule="auto" w:before="0" w:after="0"/>
      </w:pPr>
      <w:r>
        <w:rPr>
          <w:rFonts w:ascii="Arial" w:hAnsi="Arial" w:cs="Arial" w:eastAsia="Arial"/>
          <w:b/>
          <w:color w:val="000000"/>
          <w:sz w:val="36"/>
          <w:u w:val="none"/>
        </w:rPr>
        <w:t>What to do this week if you're a sophomore targeting private credit</w:t>
      </w:r>
    </w:p>
    <w:p>
      <w:pPr>
        <w:spacing w:line="480" w:lineRule="auto" w:before="0" w:after="0"/>
      </w:pPr>
      <w:r>
        <w:rPr>
          <w:rFonts w:ascii="Arial" w:hAnsi="Arial" w:cs="Arial" w:eastAsia="Arial"/>
          <w:b w:val="0"/>
          <w:color w:val="000000"/>
          <w:sz w:val="22"/>
          <w:u w:val="none"/>
        </w:rPr>
        <w:t>Apply to the top private credit Summer Analyst programs the day applications open: Apollo Credit, Blackstone Credit, KKR Credit, Ares, HPS, Sixth Street, Blue Owl, Antares, Golub.</w:t>
      </w:r>
    </w:p>
    <w:p>
      <w:pPr>
        <w:spacing w:line="480" w:lineRule="auto" w:before="0" w:after="0"/>
      </w:pPr>
      <w:r>
        <w:rPr>
          <w:rFonts w:ascii="Arial" w:hAnsi="Arial" w:cs="Arial" w:eastAsia="Arial"/>
          <w:b w:val="0"/>
          <w:color w:val="000000"/>
          <w:sz w:val="22"/>
          <w:u w:val="none"/>
        </w:rPr>
        <w:t>Read Moyer's *Distressed Debt Analysis* chapters 1 through 6 and Gatto's *Credit Investor's Handbook* end to end. Drill waterfall mechanics and covenant analysis until both are automatic.</w:t>
      </w:r>
    </w:p>
    <w:p>
      <w:pPr>
        <w:spacing w:line="480" w:lineRule="auto" w:before="0" w:after="0"/>
      </w:pPr>
      <w:r>
        <w:rPr>
          <w:rFonts w:ascii="Arial" w:hAnsi="Arial" w:cs="Arial" w:eastAsia="Arial"/>
          <w:b w:val="0"/>
          <w:color w:val="000000"/>
          <w:sz w:val="22"/>
          <w:u w:val="none"/>
        </w:rPr>
        <w:t>Build one credit memo on a public company with stressed credit characteristics. Pull the 10-K, map the cap table, identify the leverage, and propose a covenant package you'd require to lend.</w:t>
      </w:r>
    </w:p>
    <w:p>
      <w:pPr>
        <w:spacing w:line="480" w:lineRule="auto" w:before="0" w:after="0"/>
      </w:pPr>
      <w:r>
        <w:rPr>
          <w:rFonts w:ascii="Arial" w:hAnsi="Arial" w:cs="Arial" w:eastAsia="Arial"/>
          <w:b w:val="0"/>
          <w:color w:val="000000"/>
          <w:sz w:val="22"/>
          <w:u w:val="none"/>
        </w:rPr>
        <w:t>Network three current private credit analysts before submitting applications: one at a mega-fund credit arm, one at a dedicated direct lender, one at a BB credit team. Ask each the same question: what do you wish you'd known going in?</w:t>
      </w:r>
    </w:p>
    <w:p>
      <w:pPr>
        <w:spacing w:line="480" w:lineRule="auto" w:before="0" w:after="0"/>
      </w:pPr>
      <w:r>
        <w:rPr>
          <w:rFonts w:ascii="Arial" w:hAnsi="Arial" w:cs="Arial" w:eastAsia="Arial"/>
          <w:b w:val="0"/>
          <w:color w:val="000000"/>
          <w:sz w:val="22"/>
          <w:u w:val="none"/>
        </w:rPr>
        <w:t xml:space="preserve">Subscribe to </w:t>
      </w:r>
      <w:hyperlink r:id="rId9">
        <w:r>
          <w:rPr>
            <w:rFonts w:ascii="Arial" w:hAnsi="Arial" w:cs="Arial" w:eastAsia="Arial"/>
            <w:sz w:val="22"/>
            <w:color w:val="0563C1"/>
            <w:u w:val="single"/>
          </w:rPr>
          <w:t xml:space="preserve">Pari Passu</w:t>
        </w:r>
      </w:hyperlink>
      <w:r>
        <w:rPr>
          <w:rFonts w:ascii="Arial" w:hAnsi="Arial" w:cs="Arial" w:eastAsia="Arial"/>
          <w:b w:val="0"/>
          <w:color w:val="000000"/>
          <w:sz w:val="22"/>
          <w:u w:val="none"/>
        </w:rPr>
        <w:t xml:space="preserve"> and read one recent LME case writeup.</w:t>
      </w:r>
    </w:p>
    <w:p>
      <w:pPr>
        <w:spacing w:line="480" w:lineRule="auto" w:before="0" w:after="0"/>
      </w:pPr>
      <w:r>
        <w:rPr>
          <w:rFonts w:ascii="Arial" w:hAnsi="Arial" w:cs="Arial" w:eastAsia="Arial"/>
          <w:b/>
          <w:color w:val="000000"/>
          <w:sz w:val="22"/>
          <w:u w:val="none"/>
        </w:rPr>
        <w:t>The sophomores who land top private credit seats started in sophomore fall and treated the prep like a 10-hour-per-week part-time job. The candidates who get cut started in junior fall and tried to learn credit fundamentals on the timeline of a midterm.</w:t>
      </w:r>
    </w:p>
    <w:p>
      <w:pPr>
        <w:spacing w:line="480" w:lineRule="auto" w:before="0" w:after="0"/>
      </w:pPr>
      <w:r>
        <w:rPr>
          <w:rFonts w:ascii="Arial" w:hAnsi="Arial" w:cs="Arial" w:eastAsia="Arial"/>
          <w:b w:val="0"/>
          <w:color w:val="000000"/>
          <w:sz w:val="22"/>
          <w:u w:val="none"/>
        </w:rPr>
        <w:t>The asset class is growing faster than the candidate pool. The seats are there. The only question is whether you start now or hope to compress it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structuringnewsle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