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BCG Internship Application Guide</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maps the BCG internship application: the Summer Associate funnel, the Casey chatbot, the fall sophomore window, and what converts.</w:t>
      </w:r>
    </w:p>
    <w:p>
      <w:pPr>
        <w:spacing w:line="480" w:lineRule="auto" w:before="0" w:after="0"/>
      </w:pPr>
      <w:r>
        <w:rPr>
          <w:rFonts w:ascii="Arial" w:hAnsi="Arial" w:cs="Arial" w:eastAsia="Arial"/>
          <w:b w:val="0"/>
          <w:color w:val="000000"/>
          <w:sz w:val="22"/>
          <w:u w:val="none"/>
        </w:rPr>
        <w:t>BCG filled its entire Summer 2027 intern class from one deadline: June 2, 2026 [VERIFY: BCG careers page confirmed applications closed for the 2027 cycle]. The next BCG internship window for junior-summer candidates is expected to open in early 2027 [VERIFY: watch careers.bcg.com]. So the students who win Summer 2028 seats are doing their preparation right now, while nothing feels urgent.</w:t>
      </w:r>
    </w:p>
    <w:p>
      <w:pPr>
        <w:spacing w:line="480" w:lineRule="auto" w:before="0" w:after="0"/>
      </w:pPr>
      <w:r>
        <w:rPr>
          <w:rFonts w:ascii="Arial" w:hAnsi="Arial" w:cs="Arial" w:eastAsia="Arial"/>
          <w:b w:val="0"/>
          <w:color w:val="000000"/>
          <w:sz w:val="22"/>
          <w:u w:val="none"/>
        </w:rPr>
        <w:t>One application is live today, though. Growing Future Leaders, BCG's paid sophomore internship, opens in August and closes in mid-September [VERIFY: GFL dates on careers.bcg.com]. This guide covers both paths: what the internship actually is, how the funnel works, and the preparation that separates offers from silence.</w:t>
      </w:r>
    </w:p>
    <w:p>
      <w:pPr>
        <w:spacing w:line="480" w:lineRule="auto" w:before="0" w:after="0"/>
      </w:pPr>
      <w:r>
        <w:rPr>
          <w:rFonts w:ascii="Arial" w:hAnsi="Arial" w:cs="Arial" w:eastAsia="Arial"/>
          <w:b/>
          <w:color w:val="000000"/>
          <w:sz w:val="36"/>
          <w:u w:val="none"/>
        </w:rPr>
        <w:t>When is the next BCG internship deadline?</w:t>
      </w:r>
    </w:p>
    <w:p>
      <w:pPr>
        <w:spacing w:line="480" w:lineRule="auto" w:before="0" w:after="0"/>
      </w:pPr>
      <w:r>
        <w:rPr>
          <w:rFonts w:ascii="Arial" w:hAnsi="Arial" w:cs="Arial" w:eastAsia="Arial"/>
          <w:b w:val="0"/>
          <w:color w:val="000000"/>
          <w:sz w:val="22"/>
          <w:u w:val="none"/>
        </w:rPr>
        <w:t>The Summer 2027 Summer Associate deadline passed on June 2, 2026, and BCG ran a single window rather than the two-deadline structure Bain uses [VERIFY: whether BCG adds a fall window this cycle]. For Summer 2028 internships, expect applications to open in early 2027 with a deadline in late spring [VERIFY: exact dates when posted]. Growing Future Leaders, the sophomore program, closes in mid-September 2026 for Summer 2027 [VERIFY].</w:t>
      </w:r>
    </w:p>
    <w:p>
      <w:pPr>
        <w:spacing w:line="480" w:lineRule="auto" w:before="0" w:after="0"/>
      </w:pPr>
      <w:r>
        <w:rPr>
          <w:rFonts w:ascii="Arial" w:hAnsi="Arial" w:cs="Arial" w:eastAsia="Arial"/>
          <w:b/>
          <w:color w:val="000000"/>
          <w:sz w:val="36"/>
          <w:u w:val="none"/>
        </w:rPr>
        <w:t>What GPA do you need for a BCG internship?</w:t>
      </w:r>
    </w:p>
    <w:p>
      <w:pPr>
        <w:spacing w:line="480" w:lineRule="auto" w:before="0" w:after="0"/>
      </w:pPr>
      <w:r>
        <w:rPr>
          <w:rFonts w:ascii="Arial" w:hAnsi="Arial" w:cs="Arial" w:eastAsia="Arial"/>
          <w:b w:val="0"/>
          <w:color w:val="000000"/>
          <w:sz w:val="22"/>
          <w:u w:val="none"/>
        </w:rPr>
        <w:t>BCG publishes no cutoff. In practice, competitive applicants from target schools sit at 3.7 or above, and non-target applicants need more cushion plus something distinctive on the resume [VERIFY: GPA norms shift by school and cycle]. GPA gets you read. Casey and the case interviews decide the rest.</w:t>
      </w:r>
    </w:p>
    <w:p>
      <w:pPr>
        <w:spacing w:line="480" w:lineRule="auto" w:before="0" w:after="0"/>
      </w:pPr>
      <w:r>
        <w:rPr>
          <w:rFonts w:ascii="Arial" w:hAnsi="Arial" w:cs="Arial" w:eastAsia="Arial"/>
          <w:b/>
          <w:color w:val="000000"/>
          <w:sz w:val="36"/>
          <w:u w:val="none"/>
        </w:rPr>
        <w:t>BCG runs the internship as a ten-week audition</w:t>
      </w:r>
    </w:p>
    <w:p>
      <w:pPr>
        <w:spacing w:line="480" w:lineRule="auto" w:before="0" w:after="0"/>
      </w:pPr>
      <w:r>
        <w:rPr>
          <w:rFonts w:ascii="Arial" w:hAnsi="Arial" w:cs="Arial" w:eastAsia="Arial"/>
          <w:b w:val="0"/>
          <w:color w:val="000000"/>
          <w:sz w:val="22"/>
          <w:u w:val="none"/>
        </w:rPr>
        <w:t>Start with what BCG is buying. The Summer Associate role puts you on a live case team for about ten weeks, doing real work: market models, customer interviews, competitor teardowns, slides that go in front of clients. Interns earn in the neighborhood of $2,100 per week [VERIFY: current Summer Associate comp]. Strong performers convert to a full-time Associate offer, which now pays a $115,000 base plus a performance bonus and signing bonus that push first-year totals toward $140,000 [VERIFY: 2026 comp figures, base rose from $110,000 this cycle].</w:t>
      </w:r>
    </w:p>
    <w:p>
      <w:pPr>
        <w:spacing w:line="480" w:lineRule="auto" w:before="0" w:after="0"/>
      </w:pPr>
      <w:r>
        <w:rPr>
          <w:rFonts w:ascii="Arial" w:hAnsi="Arial" w:cs="Arial" w:eastAsia="Arial"/>
          <w:b w:val="0"/>
          <w:color w:val="000000"/>
          <w:sz w:val="22"/>
          <w:u w:val="none"/>
        </w:rPr>
        <w:t xml:space="preserve">The firm isn't running a summer camp. BCG uses the intern class to lock in its Associate hires a full year before graduation, ahead of every competing offer you might collect senior year. </w:t>
      </w:r>
      <w:r>
        <w:rPr>
          <w:rFonts w:ascii="Arial" w:hAnsi="Arial" w:cs="Arial" w:eastAsia="Arial"/>
          <w:b/>
          <w:color w:val="000000"/>
          <w:sz w:val="22"/>
          <w:u w:val="none"/>
        </w:rPr>
        <w:t>The Summer Associate internship is a core Associate hiring channel, so every stage of the application is really asking one question: can this person pass a client test in July?</w:t>
      </w:r>
    </w:p>
    <w:p>
      <w:pPr>
        <w:spacing w:line="480" w:lineRule="auto" w:before="0" w:after="0"/>
      </w:pPr>
      <w:r>
        <w:rPr>
          <w:rFonts w:ascii="Arial" w:hAnsi="Arial" w:cs="Arial" w:eastAsia="Arial"/>
          <w:b w:val="0"/>
          <w:color w:val="000000"/>
          <w:sz w:val="22"/>
          <w:u w:val="none"/>
        </w:rPr>
        <w:t>The variety is part of the pitch, and it's real. A Summer Associate can land on a consumer pricing case, a climate strategy for an industrial client, or a build sprint alongside BCG X, the firm's tech build and design unit. Ten weeks is short. The exposure is not.</w:t>
      </w:r>
    </w:p>
    <w:p>
      <w:pPr>
        <w:spacing w:line="480" w:lineRule="auto" w:before="0" w:after="0"/>
      </w:pPr>
      <w:r>
        <w:rPr>
          <w:rFonts w:ascii="Arial" w:hAnsi="Arial" w:cs="Arial" w:eastAsia="Arial"/>
          <w:b w:val="0"/>
          <w:color w:val="000000"/>
          <w:sz w:val="22"/>
          <w:u w:val="none"/>
        </w:rPr>
        <w:t>Read your materials through that lens before submitting. A resume line that says "analyzed data for student consulting club" tells them nothing about July. "Built the pricing model that raised our client's shop revenue 12 percent" does.</w:t>
      </w:r>
    </w:p>
    <w:p>
      <w:pPr>
        <w:spacing w:line="480" w:lineRule="auto" w:before="0" w:after="0"/>
      </w:pPr>
      <w:r>
        <w:rPr>
          <w:rFonts w:ascii="Arial" w:hAnsi="Arial" w:cs="Arial" w:eastAsia="Arial"/>
          <w:b/>
          <w:color w:val="000000"/>
          <w:sz w:val="36"/>
          <w:u w:val="none"/>
        </w:rPr>
        <w:t>The funnel: one application, Casey, two interview rounds</w:t>
      </w:r>
    </w:p>
    <w:p>
      <w:pPr>
        <w:spacing w:line="480" w:lineRule="auto" w:before="0" w:after="0"/>
      </w:pPr>
      <w:r>
        <w:rPr>
          <w:rFonts w:ascii="Arial" w:hAnsi="Arial" w:cs="Arial" w:eastAsia="Arial"/>
          <w:b w:val="0"/>
          <w:color w:val="000000"/>
          <w:sz w:val="22"/>
          <w:u w:val="none"/>
        </w:rPr>
        <w:t>Four stages, and each one cuts.</w:t>
      </w:r>
    </w:p>
    <w:p>
      <w:pPr>
        <w:pStyle w:val="ListBullet"/>
        <w:spacing w:line="480" w:lineRule="auto" w:before="0" w:after="0"/>
      </w:pPr>
      <w:r>
        <w:rPr>
          <w:rFonts w:ascii="Arial" w:hAnsi="Arial" w:cs="Arial" w:eastAsia="Arial"/>
          <w:b w:val="0"/>
          <w:color w:val="000000"/>
          <w:sz w:val="22"/>
          <w:u w:val="none"/>
        </w:rPr>
        <w:t>The application: one-page resume, transcript, and your office preferences. BCG asks you to select a maximum of two locations, and the choice is read seriously.</w:t>
      </w:r>
    </w:p>
    <w:p>
      <w:pPr>
        <w:pStyle w:val="ListBullet"/>
        <w:spacing w:line="480" w:lineRule="auto" w:before="0" w:after="0"/>
      </w:pPr>
      <w:r>
        <w:rPr>
          <w:rFonts w:ascii="Arial" w:hAnsi="Arial" w:cs="Arial" w:eastAsia="Arial"/>
          <w:b w:val="0"/>
          <w:color w:val="000000"/>
          <w:sz w:val="22"/>
          <w:u w:val="none"/>
        </w:rPr>
        <w:t>Casey, the online assessment, sent before or alongside first-round invitations depending on office [VERIFY: timing varies].</w:t>
      </w:r>
    </w:p>
    <w:p>
      <w:pPr>
        <w:pStyle w:val="ListBullet"/>
        <w:spacing w:line="480" w:lineRule="auto" w:before="0" w:after="0"/>
      </w:pPr>
      <w:r>
        <w:rPr>
          <w:rFonts w:ascii="Arial" w:hAnsi="Arial" w:cs="Arial" w:eastAsia="Arial"/>
          <w:b w:val="0"/>
          <w:color w:val="000000"/>
          <w:sz w:val="22"/>
          <w:u w:val="none"/>
        </w:rPr>
        <w:t>First round: typically two interviews pairing a case with questions about your experience and motivation.</w:t>
      </w:r>
    </w:p>
    <w:p>
      <w:pPr>
        <w:pStyle w:val="ListBullet"/>
        <w:spacing w:line="480" w:lineRule="auto" w:before="0" w:after="0"/>
      </w:pPr>
      <w:r>
        <w:rPr>
          <w:rFonts w:ascii="Arial" w:hAnsi="Arial" w:cs="Arial" w:eastAsia="Arial"/>
          <w:b w:val="0"/>
          <w:color w:val="000000"/>
          <w:sz w:val="22"/>
          <w:u w:val="none"/>
        </w:rPr>
        <w:t>Final round: cases plus deeper conversations with senior BCGers, where fit questions get real follow-ups.</w:t>
      </w:r>
    </w:p>
    <w:p>
      <w:pPr>
        <w:spacing w:line="480" w:lineRule="auto" w:before="0" w:after="0"/>
      </w:pPr>
      <w:r>
        <w:rPr>
          <w:rFonts w:ascii="Arial" w:hAnsi="Arial" w:cs="Arial" w:eastAsia="Arial"/>
          <w:b w:val="0"/>
          <w:color w:val="000000"/>
          <w:sz w:val="22"/>
          <w:u w:val="none"/>
        </w:rPr>
        <w:t xml:space="preserve">Offers tend to land within a couple of weeks of the final round. BCG describes the whole process on its </w:t>
      </w:r>
      <w:hyperlink r:id="rId9">
        <w:r>
          <w:rPr>
            <w:rFonts w:ascii="Arial" w:hAnsi="Arial" w:cs="Arial" w:eastAsia="Arial"/>
            <w:sz w:val="22"/>
            <w:color w:val="0563C1"/>
            <w:u w:val="single"/>
          </w:rPr>
          <w:t xml:space="preserve">interview process</w:t>
        </w:r>
      </w:hyperlink>
      <w:r>
        <w:rPr>
          <w:rFonts w:ascii="Arial" w:hAnsi="Arial" w:cs="Arial" w:eastAsia="Arial"/>
          <w:b w:val="0"/>
          <w:color w:val="000000"/>
          <w:sz w:val="22"/>
          <w:u w:val="none"/>
        </w:rPr>
        <w:t xml:space="preserve"> page, and it's worth reading the firm's own framing: they call it a two-way conversation, and interviewers genuinely do expect you to ask sharp questions back.</w:t>
      </w:r>
    </w:p>
    <w:p>
      <w:pPr>
        <w:spacing w:line="480" w:lineRule="auto" w:before="0" w:after="0"/>
      </w:pPr>
      <w:r>
        <w:rPr>
          <w:rFonts w:ascii="Arial" w:hAnsi="Arial" w:cs="Arial" w:eastAsia="Arial"/>
          <w:b/>
          <w:color w:val="000000"/>
          <w:sz w:val="36"/>
          <w:u w:val="none"/>
        </w:rPr>
        <w:t>What BCG screens for besides case skill</w:t>
      </w:r>
    </w:p>
    <w:p>
      <w:pPr>
        <w:spacing w:line="480" w:lineRule="auto" w:before="0" w:after="0"/>
      </w:pPr>
      <w:r>
        <w:rPr>
          <w:rFonts w:ascii="Arial" w:hAnsi="Arial" w:cs="Arial" w:eastAsia="Arial"/>
          <w:b w:val="0"/>
          <w:color w:val="000000"/>
          <w:sz w:val="22"/>
          <w:u w:val="none"/>
        </w:rPr>
        <w:t>BCG names its criteria in plain sight, and almost nobody reads them. The firm's interview pages describe five qualities: integrity, intellectual curiosity, creative thinking, a collaborative mindset, and drive. Those aren't wall posters. They map to specific moments in the process.</w:t>
      </w:r>
    </w:p>
    <w:p>
      <w:pPr>
        <w:spacing w:line="480" w:lineRule="auto" w:before="0" w:after="0"/>
      </w:pPr>
      <w:r>
        <w:rPr>
          <w:rFonts w:ascii="Arial" w:hAnsi="Arial" w:cs="Arial" w:eastAsia="Arial"/>
          <w:b w:val="0"/>
          <w:color w:val="000000"/>
          <w:sz w:val="22"/>
          <w:u w:val="none"/>
        </w:rPr>
        <w:t>Curiosity shows up in the questions you ask back, because interviewers leave room for them on purpose. Creative thinking gets tested mid-case, when the interviewer adds a constraint that breaks your first structure and watches whether you rebuild or freeze. Collaboration is what the experience interview is probing when it asks about teams, and the strong answers cast teammates as capable people you invested in rather than obstacles you managed around.</w:t>
      </w:r>
    </w:p>
    <w:p>
      <w:pPr>
        <w:spacing w:line="480" w:lineRule="auto" w:before="0" w:after="0"/>
      </w:pPr>
      <w:r>
        <w:rPr>
          <w:rFonts w:ascii="Arial" w:hAnsi="Arial" w:cs="Arial" w:eastAsia="Arial"/>
          <w:b w:val="0"/>
          <w:color w:val="000000"/>
          <w:sz w:val="22"/>
          <w:u w:val="none"/>
        </w:rPr>
        <w:t xml:space="preserve">Drive is the quiet one. A resume with one sustained commitment that grew over three years reads as more driven than six clubs joined junior fall. </w:t>
      </w:r>
      <w:r>
        <w:rPr>
          <w:rFonts w:ascii="Arial" w:hAnsi="Arial" w:cs="Arial" w:eastAsia="Arial"/>
          <w:b/>
          <w:color w:val="000000"/>
          <w:sz w:val="22"/>
          <w:u w:val="none"/>
        </w:rPr>
        <w:t>BCG's five stated qualities are scoring criteria, and candidates who prepare one story per quality walk into the experience interview with the test answers in hand.</w:t>
      </w:r>
    </w:p>
    <w:p>
      <w:pPr>
        <w:spacing w:line="480" w:lineRule="auto" w:before="0" w:after="0"/>
      </w:pPr>
      <w:r>
        <w:rPr>
          <w:rFonts w:ascii="Arial" w:hAnsi="Arial" w:cs="Arial" w:eastAsia="Arial"/>
          <w:b/>
          <w:color w:val="000000"/>
          <w:sz w:val="36"/>
          <w:u w:val="none"/>
        </w:rPr>
        <w:t>Casey cuts applicants before a human reads the file</w:t>
      </w:r>
    </w:p>
    <w:p>
      <w:pPr>
        <w:spacing w:line="480" w:lineRule="auto" w:before="0" w:after="0"/>
      </w:pPr>
      <w:r>
        <w:rPr>
          <w:rFonts w:ascii="Arial" w:hAnsi="Arial" w:cs="Arial" w:eastAsia="Arial"/>
          <w:b w:val="0"/>
          <w:color w:val="000000"/>
          <w:sz w:val="22"/>
          <w:u w:val="none"/>
        </w:rPr>
        <w:t>BCG's online assessment, widely called Casey, is a chatbot-style case simulation: roughly 25 to 35 minutes, six to ten questions mixing multiple choice, numeric entry, and free text, capped by a recorded video recommendation of about a minute [VERIFY: format is third-party reported and shifts by cycle]. Answers are final once submitted. There's no pause button.</w:t>
      </w:r>
    </w:p>
    <w:p>
      <w:pPr>
        <w:spacing w:line="480" w:lineRule="auto" w:before="0" w:after="0"/>
      </w:pPr>
      <w:r>
        <w:rPr>
          <w:rFonts w:ascii="Arial" w:hAnsi="Arial" w:cs="Arial" w:eastAsia="Arial"/>
          <w:b w:val="0"/>
          <w:color w:val="000000"/>
          <w:sz w:val="22"/>
          <w:u w:val="none"/>
        </w:rPr>
        <w:t xml:space="preserve">Treat it with the respect you'd give a live first round. Two weeks out, start daily timed mental math: percentages, breakevens, big multiplication without a calculator. Practice saying a recommendation out loud in under 60 seconds, because the video question rewards candidates who lead with the answer. And run BCG's own interactive practice cases first. The firm publishes three on its </w:t>
      </w:r>
      <w:hyperlink r:id="rId10">
        <w:r>
          <w:rPr>
            <w:rFonts w:ascii="Arial" w:hAnsi="Arial" w:cs="Arial" w:eastAsia="Arial"/>
            <w:sz w:val="22"/>
            <w:color w:val="0563C1"/>
            <w:u w:val="single"/>
          </w:rPr>
          <w:t xml:space="preserve">case preparation</w:t>
        </w:r>
      </w:hyperlink>
      <w:r>
        <w:rPr>
          <w:rFonts w:ascii="Arial" w:hAnsi="Arial" w:cs="Arial" w:eastAsia="Arial"/>
          <w:b w:val="0"/>
          <w:color w:val="000000"/>
          <w:sz w:val="22"/>
          <w:u w:val="none"/>
        </w:rPr>
        <w:t xml:space="preserve"> page, covering a climate strategy, a customer satisfaction turnaround, and a cloud migration. </w:t>
      </w:r>
      <w:r>
        <w:rPr>
          <w:rFonts w:ascii="Arial" w:hAnsi="Arial" w:cs="Arial" w:eastAsia="Arial"/>
          <w:b/>
          <w:color w:val="000000"/>
          <w:sz w:val="22"/>
          <w:u w:val="none"/>
        </w:rPr>
        <w:t>Casey screens out real numbers of applicants every cycle, and the students it cuts are almost always the ones who assumed a chatbot couldn't be serious.</w:t>
      </w:r>
    </w:p>
    <w:p>
      <w:pPr>
        <w:spacing w:line="480" w:lineRule="auto" w:before="0" w:after="0"/>
      </w:pPr>
      <w:r>
        <w:rPr>
          <w:rFonts w:ascii="Arial" w:hAnsi="Arial" w:cs="Arial" w:eastAsia="Arial"/>
          <w:b/>
          <w:color w:val="000000"/>
          <w:sz w:val="36"/>
          <w:u w:val="none"/>
        </w:rPr>
        <w:t>The sophomore door is open right now: Growing Future Leaders</w:t>
      </w:r>
    </w:p>
    <w:p>
      <w:pPr>
        <w:spacing w:line="480" w:lineRule="auto" w:before="0" w:after="0"/>
      </w:pPr>
      <w:r>
        <w:rPr>
          <w:rFonts w:ascii="Arial" w:hAnsi="Arial" w:cs="Arial" w:eastAsia="Arial"/>
          <w:b w:val="0"/>
          <w:color w:val="000000"/>
          <w:sz w:val="22"/>
          <w:u w:val="none"/>
        </w:rPr>
        <w:t>If you're a sophomore, the main pipeline isn't your only route. Growing Future Leaders is a ten-week paid BCG internship for sophomores, aimed at students from Black, Hispanic and Latino, and Native American backgrounds [VERIFY: current eligibility language on the GFL page]. Applications open in August and have closed around September 11 in recent cycles [VERIFY: 2026 deadline].</w:t>
      </w:r>
    </w:p>
    <w:p>
      <w:pPr>
        <w:pStyle w:val="ListBullet"/>
        <w:spacing w:line="480" w:lineRule="auto" w:before="0" w:after="0"/>
      </w:pPr>
      <w:r>
        <w:rPr>
          <w:rFonts w:ascii="Arial" w:hAnsi="Arial" w:cs="Arial" w:eastAsia="Arial"/>
          <w:b w:val="0"/>
          <w:color w:val="000000"/>
          <w:sz w:val="22"/>
          <w:u w:val="none"/>
        </w:rPr>
        <w:t xml:space="preserve">Website: the </w:t>
      </w:r>
      <w:hyperlink r:id="rId11">
        <w:r>
          <w:rPr>
            <w:rFonts w:ascii="Arial" w:hAnsi="Arial" w:cs="Arial" w:eastAsia="Arial"/>
            <w:sz w:val="22"/>
            <w:color w:val="0563C1"/>
            <w:u w:val="single"/>
          </w:rPr>
          <w:t xml:space="preserve">Growing Future Leaders</w:t>
        </w:r>
      </w:hyperlink>
      <w:r>
        <w:rPr>
          <w:rFonts w:ascii="Arial" w:hAnsi="Arial" w:cs="Arial" w:eastAsia="Arial"/>
          <w:b w:val="0"/>
          <w:color w:val="000000"/>
          <w:sz w:val="22"/>
          <w:u w:val="none"/>
        </w:rPr>
        <w:t xml:space="preserve"> page on BCG's careers site</w:t>
      </w:r>
    </w:p>
    <w:p>
      <w:pPr>
        <w:pStyle w:val="ListBullet"/>
        <w:spacing w:line="480" w:lineRule="auto" w:before="0" w:after="0"/>
      </w:pPr>
      <w:r>
        <w:rPr>
          <w:rFonts w:ascii="Arial" w:hAnsi="Arial" w:cs="Arial" w:eastAsia="Arial"/>
          <w:b w:val="0"/>
          <w:color w:val="000000"/>
          <w:sz w:val="22"/>
          <w:u w:val="none"/>
        </w:rPr>
        <w:t>Where to apply: directly through that page when the window opens</w:t>
      </w:r>
    </w:p>
    <w:p>
      <w:pPr>
        <w:pStyle w:val="ListBullet"/>
        <w:spacing w:line="480" w:lineRule="auto" w:before="0" w:after="0"/>
      </w:pPr>
      <w:r>
        <w:rPr>
          <w:rFonts w:ascii="Arial" w:hAnsi="Arial" w:cs="Arial" w:eastAsia="Arial"/>
          <w:b w:val="0"/>
          <w:color w:val="000000"/>
          <w:sz w:val="22"/>
          <w:u w:val="none"/>
        </w:rPr>
        <w:t>Deadline: mid-September [VERIFY]</w:t>
      </w:r>
    </w:p>
    <w:p>
      <w:pPr>
        <w:pStyle w:val="ListBullet"/>
        <w:spacing w:line="480" w:lineRule="auto" w:before="0" w:after="0"/>
      </w:pPr>
      <w:r>
        <w:rPr>
          <w:rFonts w:ascii="Arial" w:hAnsi="Arial" w:cs="Arial" w:eastAsia="Arial"/>
          <w:b w:val="0"/>
          <w:color w:val="000000"/>
          <w:sz w:val="22"/>
          <w:u w:val="none"/>
        </w:rPr>
        <w:t>Eligibility: current sophomores; see the page for the criteria as written this cycle</w:t>
      </w:r>
    </w:p>
    <w:p>
      <w:pPr>
        <w:pStyle w:val="ListBullet"/>
        <w:spacing w:line="480" w:lineRule="auto" w:before="0" w:after="0"/>
      </w:pPr>
      <w:r>
        <w:rPr>
          <w:rFonts w:ascii="Arial" w:hAnsi="Arial" w:cs="Arial" w:eastAsia="Arial"/>
          <w:b w:val="0"/>
          <w:color w:val="000000"/>
          <w:sz w:val="22"/>
          <w:u w:val="none"/>
        </w:rPr>
        <w:t>Why apply: a real BCG internship a full year early, plus a fast track into the junior-summer process</w:t>
      </w:r>
    </w:p>
    <w:p>
      <w:pPr>
        <w:spacing w:line="480" w:lineRule="auto" w:before="0" w:after="0"/>
      </w:pPr>
      <w:r>
        <w:rPr>
          <w:rFonts w:ascii="Arial" w:hAnsi="Arial" w:cs="Arial" w:eastAsia="Arial"/>
          <w:b w:val="0"/>
          <w:color w:val="000000"/>
          <w:sz w:val="22"/>
          <w:u w:val="none"/>
        </w:rPr>
        <w:t xml:space="preserve">One correction worth making, because students mix this up constantly. Bridge to BCG is not the sophomore program. It's a workshop for PhD, MD, and JD candidates. </w:t>
      </w:r>
      <w:r>
        <w:rPr>
          <w:rFonts w:ascii="Arial" w:hAnsi="Arial" w:cs="Arial" w:eastAsia="Arial"/>
          <w:b/>
          <w:color w:val="000000"/>
          <w:sz w:val="22"/>
          <w:u w:val="none"/>
        </w:rPr>
        <w:t>Growing Future Leaders is the only BCG internship a sophomore can hold next summer, and its application window is measured in weeks, not months.</w:t>
      </w:r>
    </w:p>
    <w:p>
      <w:pPr>
        <w:spacing w:line="480" w:lineRule="auto" w:before="0" w:after="0"/>
      </w:pPr>
      <w:r>
        <w:rPr>
          <w:rFonts w:ascii="Arial" w:hAnsi="Arial" w:cs="Arial" w:eastAsia="Arial"/>
          <w:b/>
          <w:color w:val="000000"/>
          <w:sz w:val="36"/>
          <w:u w:val="none"/>
        </w:rPr>
        <w:t>BCG cases are candidate-led, so practice starting from silence</w:t>
      </w:r>
    </w:p>
    <w:p>
      <w:pPr>
        <w:spacing w:line="480" w:lineRule="auto" w:before="0" w:after="0"/>
      </w:pPr>
      <w:r>
        <w:rPr>
          <w:rFonts w:ascii="Arial" w:hAnsi="Arial" w:cs="Arial" w:eastAsia="Arial"/>
          <w:b w:val="0"/>
          <w:color w:val="000000"/>
          <w:sz w:val="22"/>
          <w:u w:val="none"/>
        </w:rPr>
        <w:t>I went through MBB recruiting on the McKinsey side, where the interviewer steers the case through pre-set questions. BCG flips the table. The interviewer hands you an ambiguous prompt, a profitability decline or a market entry call, and then waits. You structure the problem, ask for the data you need, do the math when it arrives, and close with a recommendation.</w:t>
      </w:r>
    </w:p>
    <w:p>
      <w:pPr>
        <w:spacing w:line="480" w:lineRule="auto" w:before="0" w:after="0"/>
      </w:pPr>
      <w:r>
        <w:rPr>
          <w:rFonts w:ascii="Arial" w:hAnsi="Arial" w:cs="Arial" w:eastAsia="Arial"/>
          <w:b w:val="0"/>
          <w:color w:val="000000"/>
          <w:sz w:val="22"/>
          <w:u w:val="none"/>
        </w:rPr>
        <w:t>That difference should change your practice reps. Drilling McKinsey-style cases trains you to respond. BCG rewards candidates who drive. Start every practice case from silence: take 60 to 90 seconds, lay out three or four drivers specific to the prompt, and tell the interviewer where you want to go first. Recite a memorized framework and the interviewer will notice, because BCG cases are built to punish templates and reward custom structure.</w:t>
      </w:r>
    </w:p>
    <w:p>
      <w:pPr>
        <w:spacing w:line="480" w:lineRule="auto" w:before="0" w:after="0"/>
      </w:pPr>
      <w:r>
        <w:rPr>
          <w:rFonts w:ascii="Arial" w:hAnsi="Arial" w:cs="Arial" w:eastAsia="Arial"/>
          <w:b w:val="0"/>
          <w:color w:val="000000"/>
          <w:sz w:val="22"/>
          <w:u w:val="none"/>
        </w:rPr>
        <w:t xml:space="preserve">Twenty full cases out loud with a partner is the realistic floor. Pull practice partners and cases from </w:t>
      </w:r>
      <w:hyperlink r:id="rId12">
        <w:r>
          <w:rPr>
            <w:rFonts w:ascii="Arial" w:hAnsi="Arial" w:cs="Arial" w:eastAsia="Arial"/>
            <w:sz w:val="22"/>
            <w:color w:val="0563C1"/>
            <w:u w:val="single"/>
          </w:rPr>
          <w:t xml:space="preserve">PrepLounge</w:t>
        </w:r>
      </w:hyperlink>
      <w:r>
        <w:rPr>
          <w:rFonts w:ascii="Arial" w:hAnsi="Arial" w:cs="Arial" w:eastAsia="Arial"/>
          <w:b w:val="0"/>
          <w:color w:val="000000"/>
          <w:sz w:val="22"/>
          <w:u w:val="none"/>
        </w:rPr>
        <w:t xml:space="preserve"> and watch a few walkthroughs at </w:t>
      </w:r>
      <w:hyperlink r:id="rId13">
        <w:r>
          <w:rPr>
            <w:rFonts w:ascii="Arial" w:hAnsi="Arial" w:cs="Arial" w:eastAsia="Arial"/>
            <w:sz w:val="22"/>
            <w:color w:val="0563C1"/>
            <w:u w:val="single"/>
          </w:rPr>
          <w:t xml:space="preserve">Crafting Cases</w:t>
        </w:r>
      </w:hyperlink>
      <w:r>
        <w:rPr>
          <w:rFonts w:ascii="Arial" w:hAnsi="Arial" w:cs="Arial" w:eastAsia="Arial"/>
          <w:b w:val="0"/>
          <w:color w:val="000000"/>
          <w:sz w:val="22"/>
          <w:u w:val="none"/>
        </w:rPr>
        <w:t>, but weight BCG's own three interactive cases most heavily, since they're the only ones written by the people who'll grade you.</w:t>
      </w:r>
    </w:p>
    <w:p>
      <w:pPr>
        <w:spacing w:line="480" w:lineRule="auto" w:before="0" w:after="0"/>
      </w:pPr>
      <w:r>
        <w:rPr>
          <w:rFonts w:ascii="Arial" w:hAnsi="Arial" w:cs="Arial" w:eastAsia="Arial"/>
          <w:b w:val="0"/>
          <w:color w:val="000000"/>
          <w:sz w:val="22"/>
          <w:u w:val="none"/>
        </w:rPr>
        <w:t>A student I coached through WSG, a sophomore at UVA, kept a case log in a spreadsheet: date, case type, what broke. By case 14 the same note stopped appearing. That's the level of deliberateness the bar requires.</w:t>
      </w:r>
    </w:p>
    <w:p>
      <w:pPr>
        <w:spacing w:line="480" w:lineRule="auto" w:before="0" w:after="0"/>
      </w:pPr>
      <w:r>
        <w:rPr>
          <w:rFonts w:ascii="Arial" w:hAnsi="Arial" w:cs="Arial" w:eastAsia="Arial"/>
          <w:b/>
          <w:color w:val="000000"/>
          <w:sz w:val="36"/>
          <w:u w:val="none"/>
        </w:rPr>
        <w:t>Pick two offices like it's part of the interview</w:t>
      </w:r>
    </w:p>
    <w:p>
      <w:pPr>
        <w:spacing w:line="480" w:lineRule="auto" w:before="0" w:after="0"/>
      </w:pPr>
      <w:r>
        <w:rPr>
          <w:rFonts w:ascii="Arial" w:hAnsi="Arial" w:cs="Arial" w:eastAsia="Arial"/>
          <w:b w:val="0"/>
          <w:color w:val="000000"/>
          <w:sz w:val="22"/>
          <w:u w:val="none"/>
        </w:rPr>
        <w:t>BCG caps you at two office preferences, and readers check whether your choices make sense. Ties matter: school, family, prior work, a partner's practice you've actually researched. "I'm from Dallas and want to build there" survives follow-up questions. A preference for the biggest-name office you've never lived in doesn't.</w:t>
      </w:r>
    </w:p>
    <w:p>
      <w:pPr>
        <w:spacing w:line="480" w:lineRule="auto" w:before="0" w:after="0"/>
      </w:pPr>
      <w:r>
        <w:rPr>
          <w:rFonts w:ascii="Arial" w:hAnsi="Arial" w:cs="Arial" w:eastAsia="Arial"/>
          <w:b w:val="0"/>
          <w:color w:val="000000"/>
          <w:sz w:val="22"/>
          <w:u w:val="none"/>
        </w:rPr>
        <w:t xml:space="preserve">Networking at BCG runs through events and Associates, not a formal referral system. Two or three 20-minute conversations with current Associates, ideally alumni of your school, do two jobs at once: they sharpen your "why BCG" answer with specifics nobody else has, and they put your name in the building before your resume arrives. </w:t>
      </w:r>
      <w:r>
        <w:rPr>
          <w:rFonts w:ascii="Arial" w:hAnsi="Arial" w:cs="Arial" w:eastAsia="Arial"/>
          <w:b/>
          <w:color w:val="000000"/>
          <w:sz w:val="22"/>
          <w:u w:val="none"/>
        </w:rPr>
        <w:t>A named conversation inside the firm is the cheapest advantage available to any applicant, and most applicants still skip it.</w:t>
      </w:r>
    </w:p>
    <w:p>
      <w:pPr>
        <w:spacing w:line="480" w:lineRule="auto" w:before="0" w:after="0"/>
      </w:pPr>
      <w:r>
        <w:rPr>
          <w:rFonts w:ascii="Arial" w:hAnsi="Arial" w:cs="Arial" w:eastAsia="Arial"/>
          <w:b/>
          <w:color w:val="000000"/>
          <w:sz w:val="36"/>
          <w:u w:val="none"/>
        </w:rPr>
        <w:t>Say this, don't say that: the BCG fit answers</w:t>
      </w:r>
    </w:p>
    <w:p>
      <w:pPr>
        <w:spacing w:line="480" w:lineRule="auto" w:before="0" w:after="0"/>
      </w:pPr>
      <w:r>
        <w:rPr>
          <w:rFonts w:ascii="Arial" w:hAnsi="Arial" w:cs="Arial" w:eastAsia="Arial"/>
          <w:b/>
          <w:color w:val="000000"/>
          <w:sz w:val="22"/>
          <w:u w:val="none"/>
        </w:rPr>
        <w:t>Why BCG?</w:t>
      </w:r>
    </w:p>
    <w:p>
      <w:pPr>
        <w:spacing w:line="480" w:lineRule="auto" w:before="0" w:after="0"/>
      </w:pPr>
      <w:r>
        <w:rPr>
          <w:rFonts w:ascii="Arial" w:hAnsi="Arial" w:cs="Arial" w:eastAsia="Arial"/>
          <w:b w:val="0"/>
          <w:color w:val="000000"/>
          <w:sz w:val="22"/>
          <w:u w:val="none"/>
        </w:rPr>
        <w:t>Don't say: "BCG has the best people and the strongest culture of the big three."</w:t>
      </w:r>
    </w:p>
    <w:p>
      <w:pPr>
        <w:spacing w:line="480" w:lineRule="auto" w:before="0" w:after="0"/>
      </w:pPr>
      <w:r>
        <w:rPr>
          <w:rFonts w:ascii="Arial" w:hAnsi="Arial" w:cs="Arial" w:eastAsia="Arial"/>
          <w:b w:val="0"/>
          <w:color w:val="000000"/>
          <w:sz w:val="22"/>
          <w:u w:val="none"/>
        </w:rPr>
        <w:t>Say: "I spoke with an Associate in the Chicago office about her work on a retail turnaround, and the mix of pure strategy with BCG X build work is the variety I can't get at the other two firms." [VERIFY: keep your named conversation real, interviewers probe]</w:t>
      </w:r>
    </w:p>
    <w:p>
      <w:pPr>
        <w:spacing w:line="480" w:lineRule="auto" w:before="0" w:after="0"/>
      </w:pPr>
      <w:r>
        <w:rPr>
          <w:rFonts w:ascii="Arial" w:hAnsi="Arial" w:cs="Arial" w:eastAsia="Arial"/>
          <w:b/>
          <w:color w:val="000000"/>
          <w:sz w:val="22"/>
          <w:u w:val="none"/>
        </w:rPr>
        <w:t>Why consulting?</w:t>
      </w:r>
    </w:p>
    <w:p>
      <w:pPr>
        <w:spacing w:line="480" w:lineRule="auto" w:before="0" w:after="0"/>
      </w:pPr>
      <w:r>
        <w:rPr>
          <w:rFonts w:ascii="Arial" w:hAnsi="Arial" w:cs="Arial" w:eastAsia="Arial"/>
          <w:b w:val="0"/>
          <w:color w:val="000000"/>
          <w:sz w:val="22"/>
          <w:u w:val="none"/>
        </w:rPr>
        <w:t>Don't say: "I love solving problems with smart people."</w:t>
      </w:r>
    </w:p>
    <w:p>
      <w:pPr>
        <w:spacing w:line="480" w:lineRule="auto" w:before="0" w:after="0"/>
      </w:pPr>
      <w:r>
        <w:rPr>
          <w:rFonts w:ascii="Arial" w:hAnsi="Arial" w:cs="Arial" w:eastAsia="Arial"/>
          <w:b w:val="0"/>
          <w:color w:val="000000"/>
          <w:sz w:val="22"/>
          <w:u w:val="none"/>
        </w:rPr>
        <w:t>Say: "I ran pricing for my club's spring fundraiser, tested three price points, and raised net proceeds 40 percent. I want to run that experiment on real businesses with real data."</w:t>
      </w:r>
    </w:p>
    <w:p>
      <w:pPr>
        <w:spacing w:line="480" w:lineRule="auto" w:before="0" w:after="0"/>
      </w:pPr>
      <w:r>
        <w:rPr>
          <w:rFonts w:ascii="Arial" w:hAnsi="Arial" w:cs="Arial" w:eastAsia="Arial"/>
          <w:b/>
          <w:color w:val="000000"/>
          <w:sz w:val="22"/>
          <w:u w:val="none"/>
        </w:rPr>
        <w:t>Tell me about a failure.</w:t>
      </w:r>
    </w:p>
    <w:p>
      <w:pPr>
        <w:spacing w:line="480" w:lineRule="auto" w:before="0" w:after="0"/>
      </w:pPr>
      <w:r>
        <w:rPr>
          <w:rFonts w:ascii="Arial" w:hAnsi="Arial" w:cs="Arial" w:eastAsia="Arial"/>
          <w:b w:val="0"/>
          <w:color w:val="000000"/>
          <w:sz w:val="22"/>
          <w:u w:val="none"/>
        </w:rPr>
        <w:t>Don't say: a story where the failure secretly becomes a win by sentence three.</w:t>
      </w:r>
    </w:p>
    <w:p>
      <w:pPr>
        <w:spacing w:line="480" w:lineRule="auto" w:before="0" w:after="0"/>
      </w:pPr>
      <w:r>
        <w:rPr>
          <w:rFonts w:ascii="Arial" w:hAnsi="Arial" w:cs="Arial" w:eastAsia="Arial"/>
          <w:b w:val="0"/>
          <w:color w:val="000000"/>
          <w:sz w:val="22"/>
          <w:u w:val="none"/>
        </w:rPr>
        <w:t>Say: a real miss with a cost attached, plus the specific habit you changed. Final-round interviewers ask follow-ups until the story holds or collapses.</w:t>
      </w:r>
    </w:p>
    <w:p>
      <w:pPr>
        <w:spacing w:line="480" w:lineRule="auto" w:before="0" w:after="0"/>
      </w:pPr>
      <w:r>
        <w:rPr>
          <w:rFonts w:ascii="Arial" w:hAnsi="Arial" w:cs="Arial" w:eastAsia="Arial"/>
          <w:b/>
          <w:color w:val="000000"/>
          <w:sz w:val="36"/>
          <w:u w:val="none"/>
        </w:rPr>
        <w:t>The plan from today to the Summer 2028 offer</w:t>
      </w:r>
    </w:p>
    <w:p>
      <w:pPr>
        <w:spacing w:line="480" w:lineRule="auto" w:before="0" w:after="0"/>
      </w:pPr>
      <w:r>
        <w:rPr>
          <w:rFonts w:ascii="Arial" w:hAnsi="Arial" w:cs="Arial" w:eastAsia="Arial"/>
          <w:b w:val="0"/>
          <w:color w:val="000000"/>
          <w:sz w:val="22"/>
          <w:u w:val="none"/>
        </w:rPr>
        <w:t>Fall 2026: protect the GPA, take a leadership role that will produce a number by spring, and book your first two Associate conversations. Sophomores who qualify for Growing Future Leaders should treat that September deadline as the semester's most important date.</w:t>
      </w:r>
    </w:p>
    <w:p>
      <w:pPr>
        <w:spacing w:line="480" w:lineRule="auto" w:before="0" w:after="0"/>
      </w:pPr>
      <w:r>
        <w:rPr>
          <w:rFonts w:ascii="Arial" w:hAnsi="Arial" w:cs="Arial" w:eastAsia="Arial"/>
          <w:b w:val="0"/>
          <w:color w:val="000000"/>
          <w:sz w:val="22"/>
          <w:u w:val="none"/>
        </w:rPr>
        <w:t>Winter: start casing. One or two live cases a week is enough this early, plus daily mental math in the two weeks before any assessment.</w:t>
      </w:r>
    </w:p>
    <w:p>
      <w:pPr>
        <w:spacing w:line="480" w:lineRule="auto" w:before="0" w:after="0"/>
      </w:pPr>
      <w:r>
        <w:rPr>
          <w:rFonts w:ascii="Arial" w:hAnsi="Arial" w:cs="Arial" w:eastAsia="Arial"/>
          <w:b w:val="0"/>
          <w:color w:val="000000"/>
          <w:sz w:val="22"/>
          <w:u w:val="none"/>
        </w:rPr>
        <w:t>Early 2027: the application window opens. Submit in the first days, not the last, with two office preferences you can defend and a resume where every line carries a number.</w:t>
      </w:r>
    </w:p>
    <w:p>
      <w:pPr>
        <w:spacing w:line="480" w:lineRule="auto" w:before="0" w:after="0"/>
      </w:pPr>
      <w:r>
        <w:rPr>
          <w:rFonts w:ascii="Arial" w:hAnsi="Arial" w:cs="Arial" w:eastAsia="Arial"/>
          <w:b w:val="0"/>
          <w:color w:val="000000"/>
          <w:sz w:val="22"/>
          <w:u w:val="none"/>
        </w:rPr>
        <w:t>The candidates BCG picks next spring won't be the ones who found this page the week applications opened. They'll be the ones who treated an empty fall as the actual application period. That can be you or it can be your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eers.bcg.com/global/en/interview-process" TargetMode="External"/><Relationship Id="rId10" Type="http://schemas.openxmlformats.org/officeDocument/2006/relationships/hyperlink" Target="https://careers.bcg.com/global/en/case-interview-preparation" TargetMode="External"/><Relationship Id="rId11" Type="http://schemas.openxmlformats.org/officeDocument/2006/relationships/hyperlink" Target="https://careers.bcg.com/us/en/on-campus/programs/growing-future-leaders/0" TargetMode="External"/><Relationship Id="rId12" Type="http://schemas.openxmlformats.org/officeDocument/2006/relationships/hyperlink" Target="https://www.preplounge.com/en/management-consulting-cases" TargetMode="External"/><Relationship Id="rId13" Type="http://schemas.openxmlformats.org/officeDocument/2006/relationships/hyperlink" Target="https://craftingcas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