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EY-Parthenon Careers: Roles, Salaries, Interviews, and How to Get Hired</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EY-Parthenon careers: the role ladder, 2026 salaries, the group case interview, and how undergrads get hired.</w:t>
      </w:r>
    </w:p>
    <w:p>
      <w:pPr>
        <w:spacing w:line="480" w:lineRule="auto" w:before="0" w:after="0"/>
      </w:pPr>
      <w:r>
        <w:rPr>
          <w:rFonts w:ascii="Arial" w:hAnsi="Arial" w:cs="Arial" w:eastAsia="Arial"/>
          <w:b w:val="0"/>
          <w:color w:val="000000"/>
          <w:sz w:val="22"/>
          <w:u w:val="none"/>
        </w:rPr>
        <w:t xml:space="preserve">Most students discover EY-Parthenon in one of two ways: as a "backup" to MBB, or by confusing it with EY's audit and consulting arms. Both readings are wrong. </w:t>
      </w:r>
      <w:r>
        <w:rPr>
          <w:rFonts w:ascii="Arial" w:hAnsi="Arial" w:cs="Arial" w:eastAsia="Arial"/>
          <w:b/>
          <w:color w:val="000000"/>
          <w:sz w:val="22"/>
          <w:u w:val="none"/>
        </w:rPr>
        <w:t>EY-Parthenon is a real strategy firm with near-MBB pay at the entry level, one of the largest private equity due diligence practices in the industry, and undergrad class sizes that make it a materially higher-probability offer than McKinsey for most candidates.</w:t>
      </w:r>
    </w:p>
    <w:p>
      <w:pPr>
        <w:spacing w:line="480" w:lineRule="auto" w:before="0" w:after="0"/>
      </w:pPr>
      <w:r>
        <w:rPr>
          <w:rFonts w:ascii="Arial" w:hAnsi="Arial" w:cs="Arial" w:eastAsia="Arial"/>
          <w:b w:val="0"/>
          <w:color w:val="000000"/>
          <w:sz w:val="22"/>
          <w:u w:val="none"/>
        </w:rPr>
        <w:t>As a Harvard alum, former McKinsey consultant, and founder of WSG, I don't have first-person EY-Parthenon experience, but I coach students into the firm every cycle and I've watched what the offer actually does for their careers. This is the full picture: the roles, the money, the interviews, and the way in.</w:t>
      </w:r>
    </w:p>
    <w:p>
      <w:pPr>
        <w:spacing w:line="480" w:lineRule="auto" w:before="0" w:after="0"/>
      </w:pPr>
      <w:r>
        <w:rPr>
          <w:rFonts w:ascii="Arial" w:hAnsi="Arial" w:cs="Arial" w:eastAsia="Arial"/>
          <w:b/>
          <w:color w:val="000000"/>
          <w:sz w:val="36"/>
          <w:u w:val="none"/>
        </w:rPr>
        <w:t>Is EY-Parthenon the same as EY?</w:t>
      </w:r>
    </w:p>
    <w:p>
      <w:pPr>
        <w:spacing w:line="480" w:lineRule="auto" w:before="0" w:after="0"/>
      </w:pPr>
      <w:r>
        <w:rPr>
          <w:rFonts w:ascii="Arial" w:hAnsi="Arial" w:cs="Arial" w:eastAsia="Arial"/>
          <w:b w:val="0"/>
          <w:color w:val="000000"/>
          <w:sz w:val="22"/>
          <w:u w:val="none"/>
        </w:rPr>
        <w:t>No, and the distinction decides your career trajectory. EY-Parthenon is the strategy arm inside EY, born when EY acquired the Parthenon Group in 2014, a strategy boutique founded in 1991 by two former Bain partners. An EY-Parthenon Associate does competitive strategy and deal diligence work comparable to MBB engagements. An EY Consulting hire does technology, risk, and transformation work on a different track with lower pay and different exits. Apply to the specific EY-Parthenon requisition, not to EY broadly.</w:t>
      </w:r>
    </w:p>
    <w:p>
      <w:pPr>
        <w:spacing w:line="480" w:lineRule="auto" w:before="0" w:after="0"/>
      </w:pPr>
      <w:r>
        <w:rPr>
          <w:rFonts w:ascii="Arial" w:hAnsi="Arial" w:cs="Arial" w:eastAsia="Arial"/>
          <w:b/>
          <w:color w:val="000000"/>
          <w:sz w:val="36"/>
          <w:u w:val="none"/>
        </w:rPr>
        <w:t>Does EY-Parthenon pay as much as MBB?</w:t>
      </w:r>
    </w:p>
    <w:p>
      <w:pPr>
        <w:spacing w:line="480" w:lineRule="auto" w:before="0" w:after="0"/>
      </w:pPr>
      <w:r>
        <w:rPr>
          <w:rFonts w:ascii="Arial" w:hAnsi="Arial" w:cs="Arial" w:eastAsia="Arial"/>
          <w:b w:val="0"/>
          <w:color w:val="000000"/>
          <w:sz w:val="22"/>
          <w:u w:val="none"/>
        </w:rPr>
        <w:t>At the entry level, nearly. EY-Parthenon Associates earn roughly $100,000 base with total compensation of $109,000 to $131,000, against $112,000 base at McKinsey, BCG, and Bain [VERIFY: 2026 comp figures]. The gap widens at senior levels, where MBB total comp grows faster. For an undergrad choosing a first job, the comp difference is small enough that the work mix and the exit options matter more.</w:t>
      </w:r>
    </w:p>
    <w:p>
      <w:pPr>
        <w:spacing w:line="480" w:lineRule="auto" w:before="0" w:after="0"/>
      </w:pPr>
      <w:r>
        <w:rPr>
          <w:rFonts w:ascii="Arial" w:hAnsi="Arial" w:cs="Arial" w:eastAsia="Arial"/>
          <w:b/>
          <w:color w:val="000000"/>
          <w:sz w:val="36"/>
          <w:u w:val="none"/>
        </w:rPr>
        <w:t>What EY-Parthenon actually does</w:t>
      </w:r>
    </w:p>
    <w:p>
      <w:pPr>
        <w:spacing w:line="480" w:lineRule="auto" w:before="0" w:after="0"/>
      </w:pPr>
      <w:r>
        <w:rPr>
          <w:rFonts w:ascii="Arial" w:hAnsi="Arial" w:cs="Arial" w:eastAsia="Arial"/>
          <w:b w:val="0"/>
          <w:color w:val="000000"/>
          <w:sz w:val="22"/>
          <w:u w:val="none"/>
        </w:rPr>
        <w:t>Three practice areas define the firm. First, commercial due diligence for private equity: when a PE fund considers buying a company, EY-Parthenon runs the two-to-four-week sprint that answers whether the target's market, competitive position, and growth story hold up. The firm is one of the largest CDD shops anywhere, and diligence work is the fastest path in consulting to seeing how investors think. Second, sector strategy, with unusually deep franchises in education (EY-Parthenon Education is the dominant advisor to universities and education companies), healthcare, and TMT. Third, broader transaction strategy, which expanded when EY folded its Strategy and Transactions practice into EY-Parthenon in 2025, taking the firm to more than 25,000 professionals across 150 countries [VERIFY: headcount and structure on ey.com].</w:t>
      </w:r>
    </w:p>
    <w:p>
      <w:pPr>
        <w:spacing w:line="480" w:lineRule="auto" w:before="0" w:after="0"/>
      </w:pPr>
      <w:r>
        <w:rPr>
          <w:rFonts w:ascii="Arial" w:hAnsi="Arial" w:cs="Arial" w:eastAsia="Arial"/>
          <w:b/>
          <w:color w:val="000000"/>
          <w:sz w:val="22"/>
          <w:u w:val="none"/>
        </w:rPr>
        <w:t>The CDD engine is the career-defining feature, because two years of diligence reps make EY-Parthenon Associates directly hireable by private equity funds.</w:t>
      </w:r>
      <w:r>
        <w:rPr>
          <w:rFonts w:ascii="Arial" w:hAnsi="Arial" w:cs="Arial" w:eastAsia="Arial"/>
          <w:b w:val="0"/>
          <w:color w:val="000000"/>
          <w:sz w:val="22"/>
          <w:u w:val="none"/>
        </w:rPr>
        <w:t xml:space="preserve"> Students fixate on brand prestige. PE recruiters fixate on whether you've built a market model under deal pressure, and EY-Parthenon Associates do that monthly.</w:t>
      </w:r>
    </w:p>
    <w:p>
      <w:pPr>
        <w:spacing w:line="480" w:lineRule="auto" w:before="0" w:after="0"/>
      </w:pPr>
      <w:r>
        <w:rPr>
          <w:rFonts w:ascii="Arial" w:hAnsi="Arial" w:cs="Arial" w:eastAsia="Arial"/>
          <w:b/>
          <w:color w:val="000000"/>
          <w:sz w:val="36"/>
          <w:u w:val="none"/>
        </w:rPr>
        <w:t>The role ladder, from Associate to Partner</w:t>
      </w:r>
    </w:p>
    <w:p>
      <w:pPr>
        <w:spacing w:line="480" w:lineRule="auto" w:before="0" w:after="0"/>
      </w:pPr>
      <w:r>
        <w:rPr>
          <w:rFonts w:ascii="Arial" w:hAnsi="Arial" w:cs="Arial" w:eastAsia="Arial"/>
          <w:b w:val="0"/>
          <w:color w:val="000000"/>
          <w:sz w:val="22"/>
          <w:u w:val="none"/>
        </w:rPr>
        <w:t>The undergrad entry role is Associate, with a Summer Associate internship the year before. From there the ladder runs Senior Associate (year 2 to 3), Consultant (the post-MBA entry point), Senior Consultant, Manager, Senior Manager or Director, then Partner or Managing Director. Promotion runs roughly every two to three years at the junior levels.</w:t>
      </w:r>
    </w:p>
    <w:p>
      <w:pPr>
        <w:spacing w:line="480" w:lineRule="auto" w:before="0" w:after="0"/>
      </w:pPr>
      <w:r>
        <w:rPr>
          <w:rFonts w:ascii="Arial" w:hAnsi="Arial" w:cs="Arial" w:eastAsia="Arial"/>
          <w:b w:val="0"/>
          <w:color w:val="000000"/>
          <w:sz w:val="22"/>
          <w:u w:val="none"/>
        </w:rPr>
        <w:t>Associates own the analysis: market models, expert interview synthesis, survey data, and the slides that carry the answer. Senior Associates run workstreams. By Manager, the job is client delivery and team leadership. Titles shift slightly across offices, so treat these as guideposts and confirm the level attached to any offer.</w:t>
      </w:r>
    </w:p>
    <w:p>
      <w:pPr>
        <w:spacing w:line="480" w:lineRule="auto" w:before="0" w:after="0"/>
      </w:pPr>
      <w:r>
        <w:rPr>
          <w:rFonts w:ascii="Arial" w:hAnsi="Arial" w:cs="Arial" w:eastAsia="Arial"/>
          <w:b/>
          <w:color w:val="000000"/>
          <w:sz w:val="36"/>
          <w:u w:val="none"/>
        </w:rPr>
        <w:t>Salaries by level in 2026</w:t>
      </w:r>
    </w:p>
    <w:p>
      <w:pPr>
        <w:spacing w:line="480" w:lineRule="auto" w:before="0" w:after="0"/>
      </w:pPr>
      <w:r>
        <w:rPr>
          <w:rFonts w:ascii="Arial" w:hAnsi="Arial" w:cs="Arial" w:eastAsia="Arial"/>
          <w:b w:val="0"/>
          <w:color w:val="000000"/>
          <w:sz w:val="22"/>
          <w:u w:val="none"/>
        </w:rPr>
        <w:t>Compensation at EY-Parthenon in the US runs approximately as follows [VERIFY: all figures against current reporting; ranges from June 2026 data]:</w:t>
      </w:r>
    </w:p>
    <w:p>
      <w:pPr>
        <w:pStyle w:val="ListBullet"/>
        <w:spacing w:line="480" w:lineRule="auto" w:before="0" w:after="0"/>
      </w:pPr>
      <w:r>
        <w:rPr>
          <w:rFonts w:ascii="Arial" w:hAnsi="Arial" w:cs="Arial" w:eastAsia="Arial"/>
          <w:b w:val="0"/>
          <w:color w:val="000000"/>
          <w:sz w:val="22"/>
          <w:u w:val="none"/>
        </w:rPr>
        <w:t>Associate (undergrad entry): $100K base, $109K to $131K total</w:t>
      </w:r>
    </w:p>
    <w:p>
      <w:pPr>
        <w:pStyle w:val="ListBullet"/>
        <w:spacing w:line="480" w:lineRule="auto" w:before="0" w:after="0"/>
      </w:pPr>
      <w:r>
        <w:rPr>
          <w:rFonts w:ascii="Arial" w:hAnsi="Arial" w:cs="Arial" w:eastAsia="Arial"/>
          <w:b w:val="0"/>
          <w:color w:val="000000"/>
          <w:sz w:val="22"/>
          <w:u w:val="none"/>
        </w:rPr>
        <w:t>Senior Associate: $104K to $158K total</w:t>
      </w:r>
    </w:p>
    <w:p>
      <w:pPr>
        <w:pStyle w:val="ListBullet"/>
        <w:spacing w:line="480" w:lineRule="auto" w:before="0" w:after="0"/>
      </w:pPr>
      <w:r>
        <w:rPr>
          <w:rFonts w:ascii="Arial" w:hAnsi="Arial" w:cs="Arial" w:eastAsia="Arial"/>
          <w:b w:val="0"/>
          <w:color w:val="000000"/>
          <w:sz w:val="22"/>
          <w:u w:val="none"/>
        </w:rPr>
        <w:t>Consultant (post-MBA): $120K to $160K base, $130K to $200K total</w:t>
      </w:r>
    </w:p>
    <w:p>
      <w:pPr>
        <w:pStyle w:val="ListBullet"/>
        <w:spacing w:line="480" w:lineRule="auto" w:before="0" w:after="0"/>
      </w:pPr>
      <w:r>
        <w:rPr>
          <w:rFonts w:ascii="Arial" w:hAnsi="Arial" w:cs="Arial" w:eastAsia="Arial"/>
          <w:b w:val="0"/>
          <w:color w:val="000000"/>
          <w:sz w:val="22"/>
          <w:u w:val="none"/>
        </w:rPr>
        <w:t>Senior Consultant: $150K to $215K total</w:t>
      </w:r>
    </w:p>
    <w:p>
      <w:pPr>
        <w:pStyle w:val="ListBullet"/>
        <w:spacing w:line="480" w:lineRule="auto" w:before="0" w:after="0"/>
      </w:pPr>
      <w:r>
        <w:rPr>
          <w:rFonts w:ascii="Arial" w:hAnsi="Arial" w:cs="Arial" w:eastAsia="Arial"/>
          <w:b w:val="0"/>
          <w:color w:val="000000"/>
          <w:sz w:val="22"/>
          <w:u w:val="none"/>
        </w:rPr>
        <w:t>Manager: $200K to $285K total, with about a quarter tied to bonus</w:t>
      </w:r>
    </w:p>
    <w:p>
      <w:pPr>
        <w:pStyle w:val="ListBullet"/>
        <w:spacing w:line="480" w:lineRule="auto" w:before="0" w:after="0"/>
      </w:pPr>
      <w:r>
        <w:rPr>
          <w:rFonts w:ascii="Arial" w:hAnsi="Arial" w:cs="Arial" w:eastAsia="Arial"/>
          <w:b w:val="0"/>
          <w:color w:val="000000"/>
          <w:sz w:val="22"/>
          <w:u w:val="none"/>
        </w:rPr>
        <w:t>Senior Manager / Director: $260K to $420K total</w:t>
      </w:r>
    </w:p>
    <w:p>
      <w:pPr>
        <w:pStyle w:val="ListBullet"/>
        <w:spacing w:line="480" w:lineRule="auto" w:before="0" w:after="0"/>
      </w:pPr>
      <w:r>
        <w:rPr>
          <w:rFonts w:ascii="Arial" w:hAnsi="Arial" w:cs="Arial" w:eastAsia="Arial"/>
          <w:b w:val="0"/>
          <w:color w:val="000000"/>
          <w:sz w:val="22"/>
          <w:u w:val="none"/>
        </w:rPr>
        <w:t>Partner / Managing Director: $420K to $650K+ with profit share</w:t>
      </w:r>
    </w:p>
    <w:p>
      <w:pPr>
        <w:spacing w:line="480" w:lineRule="auto" w:before="0" w:after="0"/>
      </w:pPr>
      <w:r>
        <w:rPr>
          <w:rFonts w:ascii="Arial" w:hAnsi="Arial" w:cs="Arial" w:eastAsia="Arial"/>
          <w:b w:val="0"/>
          <w:color w:val="000000"/>
          <w:sz w:val="22"/>
          <w:u w:val="none"/>
        </w:rPr>
        <w:t xml:space="preserve">Undergrad signing bonuses run $5,000 to $15,000. New York and Boston, the firm's strategy hubs, sit at the top of these ranges, and smaller offices come in 10% to 20% lower. </w:t>
      </w:r>
      <w:r>
        <w:rPr>
          <w:rFonts w:ascii="Arial" w:hAnsi="Arial" w:cs="Arial" w:eastAsia="Arial"/>
          <w:b/>
          <w:color w:val="000000"/>
          <w:sz w:val="22"/>
          <w:u w:val="none"/>
        </w:rPr>
        <w:t>EY-Parthenon also out-pays EY's core consulting practice at the same level, which is the cleanest proof that the strategy arm is a different job, not a different logo.</w:t>
      </w:r>
    </w:p>
    <w:p>
      <w:pPr>
        <w:spacing w:line="480" w:lineRule="auto" w:before="0" w:after="0"/>
      </w:pPr>
      <w:r>
        <w:rPr>
          <w:rFonts w:ascii="Arial" w:hAnsi="Arial" w:cs="Arial" w:eastAsia="Arial"/>
          <w:b w:val="0"/>
          <w:color w:val="000000"/>
          <w:sz w:val="22"/>
          <w:u w:val="none"/>
        </w:rPr>
        <w:t>The trade: hours run near 57 per week on average, heavier during live deals. Diligence sprints are intense in a way steady-state strategy work isn't.</w:t>
      </w:r>
    </w:p>
    <w:p>
      <w:pPr>
        <w:spacing w:line="480" w:lineRule="auto" w:before="0" w:after="0"/>
      </w:pPr>
      <w:r>
        <w:rPr>
          <w:rFonts w:ascii="Arial" w:hAnsi="Arial" w:cs="Arial" w:eastAsia="Arial"/>
          <w:b/>
          <w:color w:val="000000"/>
          <w:sz w:val="36"/>
          <w:u w:val="none"/>
        </w:rPr>
        <w:t>How EY-Parthenon compares to MBB and the other Big 4 arms</w:t>
      </w:r>
    </w:p>
    <w:p>
      <w:pPr>
        <w:spacing w:line="480" w:lineRule="auto" w:before="0" w:after="0"/>
      </w:pPr>
      <w:r>
        <w:rPr>
          <w:rFonts w:ascii="Arial" w:hAnsi="Arial" w:cs="Arial" w:eastAsia="Arial"/>
          <w:b w:val="0"/>
          <w:color w:val="000000"/>
          <w:sz w:val="22"/>
          <w:u w:val="none"/>
        </w:rPr>
        <w:t>Against MBB, the honest scorecard reads: entry pay within about 10%, an equivalent case interview bar, broader admission odds because classes are larger, and a narrower brand outside the industry. The work mix differs too. MBB Associates rotate across strategy, operations, and public sector work, while EY-Parthenon Associates spend far more time inside deals. Candidates who want maximum optionality should still shoot for MBB. Candidates who already know they want investing should think hard about whether the diligence seat serves them better.</w:t>
      </w:r>
    </w:p>
    <w:p>
      <w:pPr>
        <w:spacing w:line="480" w:lineRule="auto" w:before="0" w:after="0"/>
      </w:pPr>
      <w:r>
        <w:rPr>
          <w:rFonts w:ascii="Arial" w:hAnsi="Arial" w:cs="Arial" w:eastAsia="Arial"/>
          <w:b w:val="0"/>
          <w:color w:val="000000"/>
          <w:sz w:val="22"/>
          <w:u w:val="none"/>
        </w:rPr>
        <w:t xml:space="preserve">Against the other Big 4 strategy arms, the field looks like this: Monitor Deloitte carries the Michael Porter heritage and a strong consumer and growth strategy practice, PwC Strategy&amp; runs big operations-plus-deals work and often gets classified as tier 2 outright, and KPMG Strategy is the least established of the four. </w:t>
      </w:r>
      <w:r>
        <w:rPr>
          <w:rFonts w:ascii="Arial" w:hAnsi="Arial" w:cs="Arial" w:eastAsia="Arial"/>
          <w:b/>
          <w:color w:val="000000"/>
          <w:sz w:val="22"/>
          <w:u w:val="none"/>
        </w:rPr>
        <w:t>Among the Big 4 strategy arms, EY-Parthenon is the one private equity recruiters treat as a direct feeder, and for deal-minded students that single fact should settle the ranking.</w:t>
      </w:r>
    </w:p>
    <w:p>
      <w:pPr>
        <w:spacing w:line="480" w:lineRule="auto" w:before="0" w:after="0"/>
      </w:pPr>
      <w:r>
        <w:rPr>
          <w:rFonts w:ascii="Arial" w:hAnsi="Arial" w:cs="Arial" w:eastAsia="Arial"/>
          <w:b/>
          <w:color w:val="000000"/>
          <w:sz w:val="36"/>
          <w:u w:val="none"/>
        </w:rPr>
        <w:t>The interview process: two to three rounds plus a group case</w:t>
      </w:r>
    </w:p>
    <w:p>
      <w:pPr>
        <w:spacing w:line="480" w:lineRule="auto" w:before="0" w:after="0"/>
      </w:pPr>
      <w:r>
        <w:rPr>
          <w:rFonts w:ascii="Arial" w:hAnsi="Arial" w:cs="Arial" w:eastAsia="Arial"/>
          <w:b w:val="0"/>
          <w:color w:val="000000"/>
          <w:sz w:val="22"/>
          <w:u w:val="none"/>
        </w:rPr>
        <w:t>The process typically runs 4 to 8 weeks from application to offer, with campus processes moving faster. The standard sequence [VERIFY: current process on the EY-Parthenon careers page]:</w:t>
      </w:r>
    </w:p>
    <w:p>
      <w:pPr>
        <w:pStyle w:val="ListBullet"/>
        <w:spacing w:line="480" w:lineRule="auto" w:before="0" w:after="0"/>
      </w:pPr>
      <w:r>
        <w:rPr>
          <w:rFonts w:ascii="Arial" w:hAnsi="Arial" w:cs="Arial" w:eastAsia="Arial"/>
          <w:b w:val="0"/>
          <w:color w:val="000000"/>
          <w:sz w:val="22"/>
          <w:u w:val="none"/>
        </w:rPr>
        <w:t>Round 1: a 30-minute recruiter conversation, fit and resume.</w:t>
      </w:r>
    </w:p>
    <w:p>
      <w:pPr>
        <w:pStyle w:val="ListBullet"/>
        <w:spacing w:line="480" w:lineRule="auto" w:before="0" w:after="0"/>
      </w:pPr>
      <w:r>
        <w:rPr>
          <w:rFonts w:ascii="Arial" w:hAnsi="Arial" w:cs="Arial" w:eastAsia="Arial"/>
          <w:b w:val="0"/>
          <w:color w:val="000000"/>
          <w:sz w:val="22"/>
          <w:u w:val="none"/>
        </w:rPr>
        <w:t>Round 2: one to two 45-to-60-minute interviews, each pairing a candidate-led case with behavioral questions.</w:t>
      </w:r>
    </w:p>
    <w:p>
      <w:pPr>
        <w:pStyle w:val="ListBullet"/>
        <w:spacing w:line="480" w:lineRule="auto" w:before="0" w:after="0"/>
      </w:pPr>
      <w:r>
        <w:rPr>
          <w:rFonts w:ascii="Arial" w:hAnsi="Arial" w:cs="Arial" w:eastAsia="Arial"/>
          <w:b w:val="0"/>
          <w:color w:val="000000"/>
          <w:sz w:val="22"/>
          <w:u w:val="none"/>
        </w:rPr>
        <w:t>Final round: two to three interviews with Senior Managers and Partners, deeper cases with more ambiguity, plus EY-Parthenon's signature element, the group case: three to five candidates get a shared prompt, about 45 minutes to prepare, then present as a team for 15 minutes and take 20 minutes of Q&amp;A. Some offices add a written case built on a data packet.</w:t>
      </w:r>
    </w:p>
    <w:p>
      <w:pPr>
        <w:spacing w:line="480" w:lineRule="auto" w:before="0" w:after="0"/>
      </w:pPr>
      <w:r>
        <w:rPr>
          <w:rFonts w:ascii="Arial" w:hAnsi="Arial" w:cs="Arial" w:eastAsia="Arial"/>
          <w:b w:val="0"/>
          <w:color w:val="000000"/>
          <w:sz w:val="22"/>
          <w:u w:val="none"/>
        </w:rPr>
        <w:t xml:space="preserve">The cases are candidate-led, closer to Bain and BCG style than McKinsey's interviewer-led format. You'll be handed market sizing frequently, because sizing is the core motion of diligence work. Prep with the firm's own materials via the </w:t>
      </w:r>
      <w:hyperlink r:id="rId9">
        <w:r>
          <w:rPr>
            <w:rFonts w:ascii="Arial" w:hAnsi="Arial" w:cs="Arial" w:eastAsia="Arial"/>
            <w:sz w:val="22"/>
            <w:color w:val="0563C1"/>
            <w:u w:val="single"/>
          </w:rPr>
          <w:t xml:space="preserve">EY-Parthenon careers page</w:t>
        </w:r>
      </w:hyperlink>
      <w:r>
        <w:rPr>
          <w:rFonts w:ascii="Arial" w:hAnsi="Arial" w:cs="Arial" w:eastAsia="Arial"/>
          <w:b w:val="0"/>
          <w:color w:val="000000"/>
          <w:sz w:val="22"/>
          <w:u w:val="none"/>
        </w:rPr>
        <w:t xml:space="preserve">, and drill candidate-led structure through the </w:t>
      </w:r>
      <w:hyperlink r:id="rId10">
        <w:r>
          <w:rPr>
            <w:rFonts w:ascii="Arial" w:hAnsi="Arial" w:cs="Arial" w:eastAsia="Arial"/>
            <w:sz w:val="22"/>
            <w:color w:val="0563C1"/>
            <w:u w:val="single"/>
          </w:rPr>
          <w:t xml:space="preserve">PrepLounge case library</w:t>
        </w:r>
      </w:hyperlink>
      <w:r>
        <w:rPr>
          <w:rFonts w:ascii="Arial" w:hAnsi="Arial" w:cs="Arial" w:eastAsia="Arial"/>
          <w:b w:val="0"/>
          <w:color w:val="000000"/>
          <w:sz w:val="22"/>
          <w:u w:val="none"/>
        </w:rPr>
        <w:t>.</w:t>
      </w:r>
    </w:p>
    <w:p>
      <w:pPr>
        <w:spacing w:line="480" w:lineRule="auto" w:before="0" w:after="0"/>
      </w:pPr>
      <w:r>
        <w:rPr>
          <w:rFonts w:ascii="Arial" w:hAnsi="Arial" w:cs="Arial" w:eastAsia="Arial"/>
          <w:b w:val="0"/>
          <w:color w:val="000000"/>
          <w:sz w:val="22"/>
          <w:u w:val="none"/>
        </w:rPr>
        <w:t xml:space="preserve">The group case deserves specific prep because it filters differently. Interviewers watch whether you build on other candidates' points, manage the clock, and volunteer for the unglamorous parts of the presentation. </w:t>
      </w:r>
      <w:r>
        <w:rPr>
          <w:rFonts w:ascii="Arial" w:hAnsi="Arial" w:cs="Arial" w:eastAsia="Arial"/>
          <w:b/>
          <w:color w:val="000000"/>
          <w:sz w:val="22"/>
          <w:u w:val="none"/>
        </w:rPr>
        <w:t>In the group case, the candidate who synthesizes the team's answer wins over the candidate who talks the most, every single time.</w:t>
      </w:r>
      <w:r>
        <w:rPr>
          <w:rFonts w:ascii="Arial" w:hAnsi="Arial" w:cs="Arial" w:eastAsia="Arial"/>
          <w:b w:val="0"/>
          <w:color w:val="000000"/>
          <w:sz w:val="22"/>
          <w:u w:val="none"/>
        </w:rPr>
        <w:t xml:space="preserve"> A student I coached through WSG, a Vanderbilt junior, got her offer feedback almost verbatim: strong case, but what stood out was pulling a quieter teammate's point into the final recommendation.</w:t>
      </w:r>
    </w:p>
    <w:p>
      <w:pPr>
        <w:spacing w:line="480" w:lineRule="auto" w:before="0" w:after="0"/>
      </w:pPr>
      <w:r>
        <w:rPr>
          <w:rFonts w:ascii="Arial" w:hAnsi="Arial" w:cs="Arial" w:eastAsia="Arial"/>
          <w:b/>
          <w:color w:val="000000"/>
          <w:sz w:val="36"/>
          <w:u w:val="none"/>
        </w:rPr>
        <w:t>How to get hired: the honest playbook</w:t>
      </w:r>
    </w:p>
    <w:p>
      <w:pPr>
        <w:spacing w:line="480" w:lineRule="auto" w:before="0" w:after="0"/>
      </w:pPr>
      <w:r>
        <w:rPr>
          <w:rFonts w:ascii="Arial" w:hAnsi="Arial" w:cs="Arial" w:eastAsia="Arial"/>
          <w:b w:val="0"/>
          <w:color w:val="000000"/>
          <w:sz w:val="22"/>
          <w:u w:val="none"/>
        </w:rPr>
        <w:t>Timeline first. EY-Parthenon recruits undergrads on the junior-summer cycle, with application windows that generally run a few weeks behind MBB deadlines and stay open longer [VERIFY: current cycle dates by office]. A candidate who missed the MBB windows usually still has a live shot here, but don't treat that as permission to apply late. Applications are reviewed as they arrive.</w:t>
      </w:r>
    </w:p>
    <w:p>
      <w:pPr>
        <w:spacing w:line="480" w:lineRule="auto" w:before="0" w:after="0"/>
      </w:pPr>
      <w:r>
        <w:rPr>
          <w:rFonts w:ascii="Arial" w:hAnsi="Arial" w:cs="Arial" w:eastAsia="Arial"/>
          <w:b w:val="0"/>
          <w:color w:val="000000"/>
          <w:sz w:val="22"/>
          <w:u w:val="none"/>
        </w:rPr>
        <w:t>The filter is GPA plus evidence you can do analytical work under pressure. A 3.6 to 3.7 keeps you safe at most offices, and the firm reads a wider set of schools than MBB does, which is exactly why WSG readers at strong non-targets should prioritize it.</w:t>
      </w:r>
    </w:p>
    <w:p>
      <w:pPr>
        <w:spacing w:line="480" w:lineRule="auto" w:before="0" w:after="0"/>
      </w:pPr>
      <w:r>
        <w:rPr>
          <w:rFonts w:ascii="Arial" w:hAnsi="Arial" w:cs="Arial" w:eastAsia="Arial"/>
          <w:b w:val="0"/>
          <w:color w:val="000000"/>
          <w:sz w:val="22"/>
          <w:u w:val="none"/>
        </w:rPr>
        <w:t>Networking matters more than the firm admits. One or two conversations with current Associates, ideally alumni of your school, do two things: they get your name attached to your application, and they teach you the vocabulary of diligence work, which most candidates completely lack. Walk into the interview able to say "I want reps on commercial due diligence because I want to see how investors evaluate markets" and you've separated yourself from the "I love solving problems" pile. Find Associates through your school's alumni database and the firm's campus events calendar.</w:t>
      </w:r>
    </w:p>
    <w:p>
      <w:pPr>
        <w:spacing w:line="480" w:lineRule="auto" w:before="0" w:after="0"/>
      </w:pPr>
      <w:r>
        <w:rPr>
          <w:rFonts w:ascii="Arial" w:hAnsi="Arial" w:cs="Arial" w:eastAsia="Arial"/>
          <w:b w:val="0"/>
          <w:color w:val="000000"/>
          <w:sz w:val="22"/>
          <w:u w:val="none"/>
        </w:rPr>
        <w:t>Then case prep, with two EY-Parthenon-specific twists: over-index on market sizing, and run at least one mock group case with friends before the final round. Four to six weeks of consistent practice is the realistic minimum.</w:t>
      </w:r>
    </w:p>
    <w:p>
      <w:pPr>
        <w:spacing w:line="480" w:lineRule="auto" w:before="0" w:after="0"/>
      </w:pPr>
      <w:r>
        <w:rPr>
          <w:rFonts w:ascii="Arial" w:hAnsi="Arial" w:cs="Arial" w:eastAsia="Arial"/>
          <w:b/>
          <w:color w:val="000000"/>
          <w:sz w:val="36"/>
          <w:u w:val="none"/>
        </w:rPr>
        <w:t>Say this, don't say that: the "why EY-Parthenon" answer</w:t>
      </w:r>
    </w:p>
    <w:p>
      <w:pPr>
        <w:spacing w:line="480" w:lineRule="auto" w:before="0" w:after="0"/>
      </w:pPr>
      <w:r>
        <w:rPr>
          <w:rFonts w:ascii="Arial" w:hAnsi="Arial" w:cs="Arial" w:eastAsia="Arial"/>
          <w:b/>
          <w:color w:val="000000"/>
          <w:sz w:val="22"/>
          <w:u w:val="none"/>
        </w:rPr>
        <w:t>Why EY-Parthenon?</w:t>
      </w:r>
    </w:p>
    <w:p>
      <w:pPr>
        <w:spacing w:line="480" w:lineRule="auto" w:before="0" w:after="0"/>
      </w:pPr>
      <w:r>
        <w:rPr>
          <w:rFonts w:ascii="Arial" w:hAnsi="Arial" w:cs="Arial" w:eastAsia="Arial"/>
          <w:b w:val="0"/>
          <w:color w:val="000000"/>
          <w:sz w:val="22"/>
          <w:u w:val="none"/>
        </w:rPr>
        <w:t>Don't say: "It's a great stepping stone toward MBB or private equity." Interviewers hear the exit plan and discount you.</w:t>
      </w:r>
    </w:p>
    <w:p>
      <w:pPr>
        <w:spacing w:line="480" w:lineRule="auto" w:before="0" w:after="0"/>
      </w:pPr>
      <w:r>
        <w:rPr>
          <w:rFonts w:ascii="Arial" w:hAnsi="Arial" w:cs="Arial" w:eastAsia="Arial"/>
          <w:b w:val="0"/>
          <w:color w:val="000000"/>
          <w:sz w:val="22"/>
          <w:u w:val="none"/>
        </w:rPr>
        <w:t>Say: "I want commercial due diligence reps early. A friend who's an Associate walked me through a two-week CDD sprint she ran on an education company, and that pace of investor-grade analysis is what I'm looking for."</w:t>
      </w:r>
    </w:p>
    <w:p>
      <w:pPr>
        <w:spacing w:line="480" w:lineRule="auto" w:before="0" w:after="0"/>
      </w:pPr>
      <w:r>
        <w:rPr>
          <w:rFonts w:ascii="Arial" w:hAnsi="Arial" w:cs="Arial" w:eastAsia="Arial"/>
          <w:b/>
          <w:color w:val="000000"/>
          <w:sz w:val="22"/>
          <w:u w:val="none"/>
        </w:rPr>
        <w:t>Which practice interests you?</w:t>
      </w:r>
    </w:p>
    <w:p>
      <w:pPr>
        <w:spacing w:line="480" w:lineRule="auto" w:before="0" w:after="0"/>
      </w:pPr>
      <w:r>
        <w:rPr>
          <w:rFonts w:ascii="Arial" w:hAnsi="Arial" w:cs="Arial" w:eastAsia="Arial"/>
          <w:b w:val="0"/>
          <w:color w:val="000000"/>
          <w:sz w:val="22"/>
          <w:u w:val="none"/>
        </w:rPr>
        <w:t>Don't say: "I'm open to anything."</w:t>
      </w:r>
    </w:p>
    <w:p>
      <w:pPr>
        <w:spacing w:line="480" w:lineRule="auto" w:before="0" w:after="0"/>
      </w:pPr>
      <w:r>
        <w:rPr>
          <w:rFonts w:ascii="Arial" w:hAnsi="Arial" w:cs="Arial" w:eastAsia="Arial"/>
          <w:b w:val="0"/>
          <w:color w:val="000000"/>
          <w:sz w:val="22"/>
          <w:u w:val="none"/>
        </w:rPr>
        <w:t>Say: a real answer with a reason. "Education, because EY-Parthenon is the leading advisor in the sector and I spent two summers working in ed-tech" is the level of specificity that survives a partner conversation.</w:t>
      </w:r>
    </w:p>
    <w:p>
      <w:pPr>
        <w:spacing w:line="480" w:lineRule="auto" w:before="0" w:after="0"/>
      </w:pPr>
      <w:r>
        <w:rPr>
          <w:rFonts w:ascii="Arial" w:hAnsi="Arial" w:cs="Arial" w:eastAsia="Arial"/>
          <w:b/>
          <w:color w:val="000000"/>
          <w:sz w:val="36"/>
          <w:u w:val="none"/>
        </w:rPr>
        <w:t>The mistakes that cost students the offer</w:t>
      </w:r>
    </w:p>
    <w:p>
      <w:pPr>
        <w:spacing w:line="480" w:lineRule="auto" w:before="0" w:after="0"/>
      </w:pPr>
      <w:r>
        <w:rPr>
          <w:rFonts w:ascii="Arial" w:hAnsi="Arial" w:cs="Arial" w:eastAsia="Arial"/>
          <w:b w:val="0"/>
          <w:color w:val="000000"/>
          <w:sz w:val="22"/>
          <w:u w:val="none"/>
        </w:rPr>
        <w:t xml:space="preserve">Three patterns show up repeatedly. Candidates apply to the wrong pipeline, landing in EY Consulting or EY's broader Strategy and Transactions pool and wondering why the work sounds different. Check the requisition title for "EY-Parthenon" specifically. Candidates treat the interview as MBB-lite and skip prep, then get out-structured by classmates who took it seriously; the case bar is the same. And candidates frame EY-Parthenon as their backup in the interview itself, sometimes explicitly. Interviewers at every firm can smell a candidate who wants a different firm. </w:t>
      </w:r>
      <w:r>
        <w:rPr>
          <w:rFonts w:ascii="Arial" w:hAnsi="Arial" w:cs="Arial" w:eastAsia="Arial"/>
          <w:b/>
          <w:color w:val="000000"/>
          <w:sz w:val="22"/>
          <w:u w:val="none"/>
        </w:rPr>
        <w:t>Walk in with a specific reason this firm fits your goal, and diligence-to-private-equity is the most credible reason there is.</w:t>
      </w:r>
    </w:p>
    <w:p>
      <w:pPr>
        <w:spacing w:line="480" w:lineRule="auto" w:before="0" w:after="0"/>
      </w:pPr>
      <w:r>
        <w:rPr>
          <w:rFonts w:ascii="Arial" w:hAnsi="Arial" w:cs="Arial" w:eastAsia="Arial"/>
          <w:b/>
          <w:color w:val="000000"/>
          <w:sz w:val="36"/>
          <w:u w:val="none"/>
        </w:rPr>
        <w:t>Where the seat takes you</w:t>
      </w:r>
    </w:p>
    <w:p>
      <w:pPr>
        <w:spacing w:line="480" w:lineRule="auto" w:before="0" w:after="0"/>
      </w:pPr>
      <w:r>
        <w:rPr>
          <w:rFonts w:ascii="Arial" w:hAnsi="Arial" w:cs="Arial" w:eastAsia="Arial"/>
          <w:b w:val="0"/>
          <w:color w:val="000000"/>
          <w:sz w:val="22"/>
          <w:u w:val="none"/>
        </w:rPr>
        <w:t>Two to three years as an Associate leads to three well-worn exits: PE associate seats (the flagship exit, powered by the CDD work), corporate strategy and development roles, and MBA sponsorship with a return offer. The firm's education and healthcare franchises also send Associates into operating roles at portfolio companies in those sectors.</w:t>
      </w:r>
    </w:p>
    <w:p>
      <w:pPr>
        <w:spacing w:line="480" w:lineRule="auto" w:before="0" w:after="0"/>
      </w:pPr>
      <w:r>
        <w:rPr>
          <w:rFonts w:ascii="Arial" w:hAnsi="Arial" w:cs="Arial" w:eastAsia="Arial"/>
          <w:b w:val="0"/>
          <w:color w:val="000000"/>
          <w:sz w:val="22"/>
          <w:u w:val="none"/>
        </w:rPr>
        <w:t>The honest summary: EY-Parthenon is the strongest seat in Big 4 strategy and a legitimate alternative to MBB, not a consolation for missing it. If PE is the goal, the diligence reps arguably make it the better seat. Get the application into the EY-Parthenon pipeline early, learn the diligence vocabulary before your first coffee chat, and treat the group case as the real final exam.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y.com/en_us/careers/students/ey-parthenon" TargetMode="External"/><Relationship Id="rId10" Type="http://schemas.openxmlformats.org/officeDocument/2006/relationships/hyperlink" Target="https://www.preplounge.com/en/management-consulting-c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