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cs="Arial" w:eastAsia="Arial"/>
          <w:b/>
          <w:color w:val="000000"/>
          <w:sz w:val="48"/>
          <w:u w:val="none"/>
        </w:rPr>
        <w:t>Monitor Deloitte Careers: Salaries, Interviews, How to Get Hired</w:t>
      </w:r>
    </w:p>
    <w:p>
      <w:pPr>
        <w:spacing w:line="480" w:lineRule="auto" w:before="0" w:after="0"/>
      </w:pPr>
      <w:r>
        <w:rPr>
          <w:rFonts w:ascii="Arial" w:hAnsi="Arial" w:cs="Arial" w:eastAsia="Arial"/>
          <w:b/>
          <w:color w:val="000000"/>
          <w:sz w:val="22"/>
          <w:u w:val="none"/>
        </w:rPr>
        <w:t>Meta description:</w:t>
      </w:r>
      <w:r>
        <w:rPr>
          <w:rFonts w:ascii="Arial" w:hAnsi="Arial" w:cs="Arial" w:eastAsia="Arial"/>
          <w:b w:val="0"/>
          <w:color w:val="000000"/>
          <w:sz w:val="22"/>
          <w:u w:val="none"/>
        </w:rPr>
        <w:t xml:space="preserve"> WSG founder Stephen Turban breaks down Monitor Deloitte careers: what the strategy arm pays, how its interviews run, and how undergrads actually get in.</w:t>
      </w:r>
    </w:p>
    <w:p>
      <w:pPr>
        <w:spacing w:line="480" w:lineRule="auto" w:before="0" w:after="0"/>
      </w:pPr>
      <w:r>
        <w:rPr>
          <w:rFonts w:ascii="Arial" w:hAnsi="Arial" w:cs="Arial" w:eastAsia="Arial"/>
          <w:b w:val="0"/>
          <w:color w:val="000000"/>
          <w:sz w:val="22"/>
          <w:u w:val="none"/>
        </w:rPr>
        <w:t>Monitor Deloitte hires materially larger entry classes than any single MBB firm, runs the same case interviews, and pays most of the same money, yet most students applying to "Deloitte consulting" can't tell you whether they're applying to it. That confusion costs offers, because a Monitor Deloitte Business Analyst seat and a broader Deloitte Consulting seat are different jobs with different trajectories.</w:t>
      </w:r>
    </w:p>
    <w:p>
      <w:pPr>
        <w:spacing w:line="480" w:lineRule="auto" w:before="0" w:after="0"/>
      </w:pPr>
      <w:r>
        <w:rPr>
          <w:rFonts w:ascii="Arial" w:hAnsi="Arial" w:cs="Arial" w:eastAsia="Arial"/>
          <w:b w:val="0"/>
          <w:color w:val="000000"/>
          <w:sz w:val="22"/>
          <w:u w:val="none"/>
        </w:rPr>
        <w:t>As a Harvard alum, former McKinsey consultant, and founder of WSG, I watch students treat Big 4 strategy as a consolation prize and then discover it was the better fit all along. This guide covers what Monitor Deloitte actually is, what it pays, how the interviews run, and how to get the strategy designation instead of landing in the general pool.</w:t>
      </w:r>
    </w:p>
    <w:p>
      <w:pPr>
        <w:spacing w:line="480" w:lineRule="auto" w:before="0" w:after="0"/>
      </w:pPr>
      <w:r>
        <w:rPr>
          <w:rFonts w:ascii="Arial" w:hAnsi="Arial" w:cs="Arial" w:eastAsia="Arial"/>
          <w:b/>
          <w:color w:val="000000"/>
          <w:sz w:val="36"/>
          <w:u w:val="none"/>
        </w:rPr>
        <w:t>Is Monitor Deloitte the same as Deloitte Consulting?</w:t>
      </w:r>
    </w:p>
    <w:p>
      <w:pPr>
        <w:spacing w:line="480" w:lineRule="auto" w:before="0" w:after="0"/>
      </w:pPr>
      <w:r>
        <w:rPr>
          <w:rFonts w:ascii="Arial" w:hAnsi="Arial" w:cs="Arial" w:eastAsia="Arial"/>
          <w:b w:val="0"/>
          <w:color w:val="000000"/>
          <w:sz w:val="22"/>
          <w:u w:val="none"/>
        </w:rPr>
        <w:t>No. Monitor Deloitte is the strategy practice inside Deloitte Consulting, sitting in the firm's Strategy and Transactions portfolio in the US [VERIFY: Deloitte's portfolio naming shifts]. Deloitte Consulting overall is more than ten times larger, spanning technology, human capital, and operations work. Getting into Deloitte Consulting is not the same as getting into Monitor Deloitte, and the strategy work is concentrated on the Monitor side.</w:t>
      </w:r>
    </w:p>
    <w:p>
      <w:pPr>
        <w:spacing w:line="480" w:lineRule="auto" w:before="0" w:after="0"/>
      </w:pPr>
      <w:r>
        <w:rPr>
          <w:rFonts w:ascii="Arial" w:hAnsi="Arial" w:cs="Arial" w:eastAsia="Arial"/>
          <w:b/>
          <w:color w:val="000000"/>
          <w:sz w:val="36"/>
          <w:u w:val="none"/>
        </w:rPr>
        <w:t>How much does Monitor Deloitte pay undergrads?</w:t>
      </w:r>
    </w:p>
    <w:p>
      <w:pPr>
        <w:spacing w:line="480" w:lineRule="auto" w:before="0" w:after="0"/>
      </w:pPr>
      <w:r>
        <w:rPr>
          <w:rFonts w:ascii="Arial" w:hAnsi="Arial" w:cs="Arial" w:eastAsia="Arial"/>
          <w:b w:val="0"/>
          <w:color w:val="000000"/>
          <w:sz w:val="22"/>
          <w:u w:val="none"/>
        </w:rPr>
        <w:t>First-year Business Analysts on the strategy side earn a base around $90,000 to $100,000, with performance bonuses up to roughly $20,000 and signing bonuses that have reached $15,000 [VERIFY: 2026 figures; published sources conflict on the exact base]. That's roughly 85 to 95 percent of MBB base pay for case work that looks a lot like MBB's.</w:t>
      </w:r>
    </w:p>
    <w:p>
      <w:pPr>
        <w:spacing w:line="480" w:lineRule="auto" w:before="0" w:after="0"/>
      </w:pPr>
      <w:r>
        <w:rPr>
          <w:rFonts w:ascii="Arial" w:hAnsi="Arial" w:cs="Arial" w:eastAsia="Arial"/>
          <w:b/>
          <w:color w:val="000000"/>
          <w:sz w:val="36"/>
          <w:u w:val="none"/>
        </w:rPr>
        <w:t>The firm Michael Porter built, twice removed</w:t>
      </w:r>
    </w:p>
    <w:p>
      <w:pPr>
        <w:spacing w:line="480" w:lineRule="auto" w:before="0" w:after="0"/>
      </w:pPr>
      <w:r>
        <w:rPr>
          <w:rFonts w:ascii="Arial" w:hAnsi="Arial" w:cs="Arial" w:eastAsia="Arial"/>
          <w:b w:val="0"/>
          <w:color w:val="000000"/>
          <w:sz w:val="22"/>
          <w:u w:val="none"/>
        </w:rPr>
        <w:t>Monitor Group was founded in 1983 by a group of Harvard Business School figures including Michael Porter, the man behind Five Forces and modern competitive strategy. For two decades it was one of the most intellectually respected strategy houses in the world. Then it wasn't: Monitor filed for Chapter 11 in November 2012, and Deloitte completed its acquisition in January 2013.</w:t>
      </w:r>
    </w:p>
    <w:p>
      <w:pPr>
        <w:spacing w:line="480" w:lineRule="auto" w:before="0" w:after="0"/>
      </w:pPr>
      <w:r>
        <w:rPr>
          <w:rFonts w:ascii="Arial" w:hAnsi="Arial" w:cs="Arial" w:eastAsia="Arial"/>
          <w:b w:val="0"/>
          <w:color w:val="000000"/>
          <w:sz w:val="22"/>
          <w:u w:val="none"/>
        </w:rPr>
        <w:t>That history explains the firm's personality today. The Porter heritage survives in how Monitor Deloitte structures problems, and the strategy practice operates with its own identity inside a Big 4 giant. Engagements lean corporate and growth strategy, M&amp;A strategy, and innovation, including Doblin, the design and innovation unit Deloitte folded into the practice [VERIFY: current practice structure].</w:t>
      </w:r>
    </w:p>
    <w:p>
      <w:pPr>
        <w:spacing w:line="480" w:lineRule="auto" w:before="0" w:after="0"/>
      </w:pPr>
      <w:r>
        <w:rPr>
          <w:rFonts w:ascii="Arial" w:hAnsi="Arial" w:cs="Arial" w:eastAsia="Arial"/>
          <w:b/>
          <w:color w:val="000000"/>
          <w:sz w:val="22"/>
          <w:u w:val="none"/>
        </w:rPr>
        <w:t>Monitor Deloitte is what happened when a Porter-built strategy boutique got bolted onto the largest professional services firm on earth, and both halves of that sentence show up in the job.</w:t>
      </w:r>
    </w:p>
    <w:p>
      <w:pPr>
        <w:spacing w:line="480" w:lineRule="auto" w:before="0" w:after="0"/>
      </w:pPr>
      <w:r>
        <w:rPr>
          <w:rFonts w:ascii="Arial" w:hAnsi="Arial" w:cs="Arial" w:eastAsia="Arial"/>
          <w:b/>
          <w:color w:val="000000"/>
          <w:sz w:val="36"/>
          <w:u w:val="none"/>
        </w:rPr>
        <w:t>The work: strategy seats versus the advisory ocean</w:t>
      </w:r>
    </w:p>
    <w:p>
      <w:pPr>
        <w:spacing w:line="480" w:lineRule="auto" w:before="0" w:after="0"/>
      </w:pPr>
      <w:r>
        <w:rPr>
          <w:rFonts w:ascii="Arial" w:hAnsi="Arial" w:cs="Arial" w:eastAsia="Arial"/>
          <w:b w:val="0"/>
          <w:color w:val="000000"/>
          <w:sz w:val="22"/>
          <w:u w:val="none"/>
        </w:rPr>
        <w:t>Why care about the strategy designation? Because the daily work diverges fast. A Monitor Deloitte Business Analyst spends the week on questions like whether a consumer client should enter a new category, what a health system's growth plan should be, or how a corporate should sequence an acquisition strategy. Market models, competitive teardowns, pricing analysis. The classic strategy toolkit.</w:t>
      </w:r>
    </w:p>
    <w:p>
      <w:pPr>
        <w:spacing w:line="480" w:lineRule="auto" w:before="0" w:after="0"/>
      </w:pPr>
      <w:r>
        <w:rPr>
          <w:rFonts w:ascii="Arial" w:hAnsi="Arial" w:cs="Arial" w:eastAsia="Arial"/>
          <w:b w:val="0"/>
          <w:color w:val="000000"/>
          <w:sz w:val="22"/>
          <w:u w:val="none"/>
        </w:rPr>
        <w:t>The broader consulting practice does real and well-paid work, but much of it is technology implementation and operational transformation. Different muscles, different exits, different resume story. Students who accept "Deloitte Consulting" without checking which track they're in sometimes discover the difference in week two of the internship, which is late.</w:t>
      </w:r>
    </w:p>
    <w:p>
      <w:pPr>
        <w:spacing w:line="480" w:lineRule="auto" w:before="0" w:after="0"/>
      </w:pPr>
      <w:r>
        <w:rPr>
          <w:rFonts w:ascii="Arial" w:hAnsi="Arial" w:cs="Arial" w:eastAsia="Arial"/>
          <w:b w:val="0"/>
          <w:color w:val="000000"/>
          <w:sz w:val="22"/>
          <w:u w:val="none"/>
        </w:rPr>
        <w:t xml:space="preserve">The upside of the structure: scale. Big 4 strategy arms hire larger classes than MBB, and for a strong candidate at a school MBB barely visits, that math matters. </w:t>
      </w:r>
      <w:r>
        <w:rPr>
          <w:rFonts w:ascii="Arial" w:hAnsi="Arial" w:cs="Arial" w:eastAsia="Arial"/>
          <w:b/>
          <w:color w:val="000000"/>
          <w:sz w:val="22"/>
          <w:u w:val="none"/>
        </w:rPr>
        <w:t>For a 3.5 to 3.7 student outside MBB's core target list, Monitor Deloitte is a materially higher-probability strategy seat than McKinsey, BCG, or Bain.</w:t>
      </w:r>
    </w:p>
    <w:p>
      <w:pPr>
        <w:spacing w:line="480" w:lineRule="auto" w:before="0" w:after="0"/>
      </w:pPr>
      <w:r>
        <w:rPr>
          <w:rFonts w:ascii="Arial" w:hAnsi="Arial" w:cs="Arial" w:eastAsia="Arial"/>
          <w:b/>
          <w:color w:val="000000"/>
          <w:sz w:val="36"/>
          <w:u w:val="none"/>
        </w:rPr>
        <w:t>How undergrads actually get in</w:t>
      </w:r>
    </w:p>
    <w:p>
      <w:pPr>
        <w:spacing w:line="480" w:lineRule="auto" w:before="0" w:after="0"/>
      </w:pPr>
      <w:r>
        <w:rPr>
          <w:rFonts w:ascii="Arial" w:hAnsi="Arial" w:cs="Arial" w:eastAsia="Arial"/>
          <w:b w:val="0"/>
          <w:color w:val="000000"/>
          <w:sz w:val="22"/>
          <w:u w:val="none"/>
        </w:rPr>
        <w:t>Three entry points, and the labels matter.</w:t>
      </w:r>
    </w:p>
    <w:p>
      <w:pPr>
        <w:pStyle w:val="ListBullet"/>
        <w:spacing w:line="480" w:lineRule="auto" w:before="0" w:after="0"/>
      </w:pPr>
      <w:r>
        <w:rPr>
          <w:rFonts w:ascii="Arial" w:hAnsi="Arial" w:cs="Arial" w:eastAsia="Arial"/>
          <w:b w:val="0"/>
          <w:color w:val="000000"/>
          <w:sz w:val="22"/>
          <w:u w:val="none"/>
        </w:rPr>
        <w:t>The internship: Deloitte's undergrad consulting internship runs under the Summer Scholar title, and strategy-designated postings have appeared as Business Strategy Summer Scholar in recent cycles [VERIFY: exact posting titles on apply.deloitte.com]. This is the main door, typically the summer before senior year, with high intern-to-offer conversion.</w:t>
      </w:r>
    </w:p>
    <w:p>
      <w:pPr>
        <w:pStyle w:val="ListBullet"/>
        <w:spacing w:line="480" w:lineRule="auto" w:before="0" w:after="0"/>
      </w:pPr>
      <w:r>
        <w:rPr>
          <w:rFonts w:ascii="Arial" w:hAnsi="Arial" w:cs="Arial" w:eastAsia="Arial"/>
          <w:b w:val="0"/>
          <w:color w:val="000000"/>
          <w:sz w:val="22"/>
          <w:u w:val="none"/>
        </w:rPr>
        <w:t>The full-time Business Analyst application for seniors who didn't intern.</w:t>
      </w:r>
    </w:p>
    <w:p>
      <w:pPr>
        <w:pStyle w:val="ListBullet"/>
        <w:spacing w:line="480" w:lineRule="auto" w:before="0" w:after="0"/>
      </w:pPr>
      <w:r>
        <w:rPr>
          <w:rFonts w:ascii="Arial" w:hAnsi="Arial" w:cs="Arial" w:eastAsia="Arial"/>
          <w:b w:val="0"/>
          <w:color w:val="000000"/>
          <w:sz w:val="22"/>
          <w:u w:val="none"/>
        </w:rPr>
        <w:t>The sophomore door: the Deloitte Discovery Internship, the firm's early-identification internship for underclassmen. Strong Discovery interns build the relationships that carry into the strategy pipeline.</w:t>
      </w:r>
    </w:p>
    <w:p>
      <w:pPr>
        <w:spacing w:line="480" w:lineRule="auto" w:before="0" w:after="0"/>
      </w:pPr>
      <w:r>
        <w:rPr>
          <w:rFonts w:ascii="Arial" w:hAnsi="Arial" w:cs="Arial" w:eastAsia="Arial"/>
          <w:b w:val="0"/>
          <w:color w:val="000000"/>
          <w:sz w:val="22"/>
          <w:u w:val="none"/>
        </w:rPr>
        <w:t>Timing is the trap. Deloitte opens fall recruiting early and runs rolling, with recent cycles opening around August and filling well before the posted close [VERIFY: Summer 2027 posting timing]. Deloitte's stated GPA floor for consulting internships has sat at 3.3, lower than MBB's effective bar, but the strategy-designated seats clear at higher numbers in practice [VERIFY].</w:t>
      </w:r>
    </w:p>
    <w:p>
      <w:pPr>
        <w:spacing w:line="480" w:lineRule="auto" w:before="0" w:after="0"/>
      </w:pPr>
      <w:r>
        <w:rPr>
          <w:rFonts w:ascii="Arial" w:hAnsi="Arial" w:cs="Arial" w:eastAsia="Arial"/>
          <w:b w:val="0"/>
          <w:color w:val="000000"/>
          <w:sz w:val="22"/>
          <w:u w:val="none"/>
        </w:rPr>
        <w:t>Apply the week postings go live. A student I coached through WSG applied to the strategy internship in the first week of the window with a 3.6 from a big state school, interviewed within a month, and had the offer before some of her classmates had finished their resumes. Rolling review rewards the early file.</w:t>
      </w:r>
    </w:p>
    <w:p>
      <w:pPr>
        <w:spacing w:line="480" w:lineRule="auto" w:before="0" w:after="0"/>
      </w:pPr>
      <w:r>
        <w:rPr>
          <w:rFonts w:ascii="Arial" w:hAnsi="Arial" w:cs="Arial" w:eastAsia="Arial"/>
          <w:b/>
          <w:color w:val="000000"/>
          <w:sz w:val="36"/>
          <w:u w:val="none"/>
        </w:rPr>
        <w:t>The sophomore door: Deloitte Discovery</w:t>
      </w:r>
    </w:p>
    <w:p>
      <w:pPr>
        <w:spacing w:line="480" w:lineRule="auto" w:before="0" w:after="0"/>
      </w:pPr>
      <w:r>
        <w:rPr>
          <w:rFonts w:ascii="Arial" w:hAnsi="Arial" w:cs="Arial" w:eastAsia="Arial"/>
          <w:b w:val="0"/>
          <w:color w:val="000000"/>
          <w:sz w:val="22"/>
          <w:u w:val="none"/>
        </w:rPr>
        <w:t>Discovery deserves its own look, because it's one of the few Big 4 strategy on-ramps that exists before junior year.</w:t>
      </w:r>
    </w:p>
    <w:p>
      <w:pPr>
        <w:pStyle w:val="ListBullet"/>
        <w:spacing w:line="480" w:lineRule="auto" w:before="0" w:after="0"/>
      </w:pPr>
      <w:r>
        <w:rPr>
          <w:rFonts w:ascii="Arial" w:hAnsi="Arial" w:cs="Arial" w:eastAsia="Arial"/>
          <w:b w:val="0"/>
          <w:color w:val="000000"/>
          <w:sz w:val="22"/>
          <w:u w:val="none"/>
        </w:rPr>
        <w:t xml:space="preserve">Website: the </w:t>
      </w:r>
      <w:hyperlink r:id="rId9">
        <w:r>
          <w:rPr>
            <w:rFonts w:ascii="Arial" w:hAnsi="Arial" w:cs="Arial" w:eastAsia="Arial"/>
            <w:sz w:val="22"/>
            <w:color w:val="0563C1"/>
            <w:u w:val="single"/>
          </w:rPr>
          <w:t xml:space="preserve">Deloitte students</w:t>
        </w:r>
      </w:hyperlink>
      <w:r>
        <w:rPr>
          <w:rFonts w:ascii="Arial" w:hAnsi="Arial" w:cs="Arial" w:eastAsia="Arial"/>
          <w:b w:val="0"/>
          <w:color w:val="000000"/>
          <w:sz w:val="22"/>
          <w:u w:val="none"/>
        </w:rPr>
        <w:t xml:space="preserve"> page, which routes to the Discovery Internship when postings are live</w:t>
      </w:r>
    </w:p>
    <w:p>
      <w:pPr>
        <w:pStyle w:val="ListBullet"/>
        <w:spacing w:line="480" w:lineRule="auto" w:before="0" w:after="0"/>
      </w:pPr>
      <w:r>
        <w:rPr>
          <w:rFonts w:ascii="Arial" w:hAnsi="Arial" w:cs="Arial" w:eastAsia="Arial"/>
          <w:b w:val="0"/>
          <w:color w:val="000000"/>
          <w:sz w:val="22"/>
          <w:u w:val="none"/>
        </w:rPr>
        <w:t>Where to apply: apply.deloitte.com when the fall window opens [VERIFY: timing]</w:t>
      </w:r>
    </w:p>
    <w:p>
      <w:pPr>
        <w:pStyle w:val="ListBullet"/>
        <w:spacing w:line="480" w:lineRule="auto" w:before="0" w:after="0"/>
      </w:pPr>
      <w:r>
        <w:rPr>
          <w:rFonts w:ascii="Arial" w:hAnsi="Arial" w:cs="Arial" w:eastAsia="Arial"/>
          <w:b w:val="0"/>
          <w:color w:val="000000"/>
          <w:sz w:val="22"/>
          <w:u w:val="none"/>
        </w:rPr>
        <w:t>Eligibility: underclassmen, with a posted GPA floor around 3.0 to 3.2 in recent cycles [VERIFY]</w:t>
      </w:r>
    </w:p>
    <w:p>
      <w:pPr>
        <w:pStyle w:val="ListBullet"/>
        <w:spacing w:line="480" w:lineRule="auto" w:before="0" w:after="0"/>
      </w:pPr>
      <w:r>
        <w:rPr>
          <w:rFonts w:ascii="Arial" w:hAnsi="Arial" w:cs="Arial" w:eastAsia="Arial"/>
          <w:b w:val="0"/>
          <w:color w:val="000000"/>
          <w:sz w:val="22"/>
          <w:u w:val="none"/>
        </w:rPr>
        <w:t>Why apply: a real Deloitte internship as a freshman or sophomore, plus the internal relationships that make the strategy designation reachable a year later</w:t>
      </w:r>
    </w:p>
    <w:p>
      <w:pPr>
        <w:spacing w:line="480" w:lineRule="auto" w:before="0" w:after="0"/>
      </w:pPr>
      <w:r>
        <w:rPr>
          <w:rFonts w:ascii="Arial" w:hAnsi="Arial" w:cs="Arial" w:eastAsia="Arial"/>
          <w:b w:val="0"/>
          <w:color w:val="000000"/>
          <w:sz w:val="22"/>
          <w:u w:val="none"/>
        </w:rPr>
        <w:t xml:space="preserve">The quiet value of Discovery isn't the summer itself. </w:t>
      </w:r>
      <w:r>
        <w:rPr>
          <w:rFonts w:ascii="Arial" w:hAnsi="Arial" w:cs="Arial" w:eastAsia="Arial"/>
          <w:b/>
          <w:color w:val="000000"/>
          <w:sz w:val="22"/>
          <w:u w:val="none"/>
        </w:rPr>
        <w:t>Discovery interns who perform leave with advocates inside the building, and advocates are how ambiguous staffing calls, like who lands on Monitor work, break in your favor.</w:t>
      </w:r>
    </w:p>
    <w:p>
      <w:pPr>
        <w:spacing w:line="480" w:lineRule="auto" w:before="0" w:after="0"/>
      </w:pPr>
      <w:r>
        <w:rPr>
          <w:rFonts w:ascii="Arial" w:hAnsi="Arial" w:cs="Arial" w:eastAsia="Arial"/>
          <w:b w:val="0"/>
          <w:color w:val="000000"/>
          <w:sz w:val="22"/>
          <w:u w:val="none"/>
        </w:rPr>
        <w:t>What is the firm buying with all these programs? The same thing every strategy practice buys: analytical horsepower it can put in front of clients, identified as early as possible, locked in before MBB extends competing offers. Once you see the programs as a funnel Deloitte runs for its own benefit, the application advice writes itself. Show the analytical output early, show up before the deadline forces you to, and give the reader a reason to route your file to the strategy pool.</w:t>
      </w:r>
    </w:p>
    <w:p>
      <w:pPr>
        <w:spacing w:line="480" w:lineRule="auto" w:before="0" w:after="0"/>
      </w:pPr>
      <w:r>
        <w:rPr>
          <w:rFonts w:ascii="Arial" w:hAnsi="Arial" w:cs="Arial" w:eastAsia="Arial"/>
          <w:b/>
          <w:color w:val="000000"/>
          <w:sz w:val="36"/>
          <w:u w:val="none"/>
        </w:rPr>
        <w:t>The interview: MBB-style cases with two Deloitte twists</w:t>
      </w:r>
    </w:p>
    <w:p>
      <w:pPr>
        <w:spacing w:line="480" w:lineRule="auto" w:before="0" w:after="0"/>
      </w:pPr>
      <w:r>
        <w:rPr>
          <w:rFonts w:ascii="Arial" w:hAnsi="Arial" w:cs="Arial" w:eastAsia="Arial"/>
          <w:b w:val="0"/>
          <w:color w:val="000000"/>
          <w:sz w:val="22"/>
          <w:u w:val="none"/>
        </w:rPr>
        <w:t>Monitor Deloitte's funnel typically runs an online assessment, then a first round pairing behavioral questions with one or two case interviews, then a final round [VERIFY: structure varies by school and office]. The cases are the standard strategy repertoire: profitability, market entry, growth. If you've prepped for MBB, the preparation transfers almost entirely.</w:t>
      </w:r>
    </w:p>
    <w:p>
      <w:pPr>
        <w:spacing w:line="480" w:lineRule="auto" w:before="0" w:after="0"/>
      </w:pPr>
      <w:r>
        <w:rPr>
          <w:rFonts w:ascii="Arial" w:hAnsi="Arial" w:cs="Arial" w:eastAsia="Arial"/>
          <w:b w:val="0"/>
          <w:color w:val="000000"/>
          <w:sz w:val="22"/>
          <w:u w:val="none"/>
        </w:rPr>
        <w:t>Two twists show up often enough to prepare for. The first is the group case, used in some final rounds: four to six candidates get a prompt, about ten minutes to prepare, twenty minutes of observed discussion, and questions afterward [VERIFY: whether your cycle includes one]. The scoring rewards candidates who advance the group's answer, invite the quiet person in, and synthesize, and it punishes airtime hogs. The second is the written or presentation case that has appeared for strategy candidates, where you get materials and build a short recommendation.</w:t>
      </w:r>
    </w:p>
    <w:p>
      <w:pPr>
        <w:spacing w:line="480" w:lineRule="auto" w:before="0" w:after="0"/>
      </w:pPr>
      <w:r>
        <w:rPr>
          <w:rFonts w:ascii="Arial" w:hAnsi="Arial" w:cs="Arial" w:eastAsia="Arial"/>
          <w:b w:val="0"/>
          <w:color w:val="000000"/>
          <w:sz w:val="22"/>
          <w:u w:val="none"/>
        </w:rPr>
        <w:t xml:space="preserve">Prep with Deloitte's own materials first. The firm publishes </w:t>
      </w:r>
      <w:hyperlink r:id="rId10">
        <w:r>
          <w:rPr>
            <w:rFonts w:ascii="Arial" w:hAnsi="Arial" w:cs="Arial" w:eastAsia="Arial"/>
            <w:sz w:val="22"/>
            <w:color w:val="0563C1"/>
            <w:u w:val="single"/>
          </w:rPr>
          <w:t xml:space="preserve">case interview tips</w:t>
        </w:r>
      </w:hyperlink>
      <w:r>
        <w:rPr>
          <w:rFonts w:ascii="Arial" w:hAnsi="Arial" w:cs="Arial" w:eastAsia="Arial"/>
          <w:b w:val="0"/>
          <w:color w:val="000000"/>
          <w:sz w:val="22"/>
          <w:u w:val="none"/>
        </w:rPr>
        <w:t xml:space="preserve"> and an interactive </w:t>
      </w:r>
      <w:hyperlink r:id="rId11">
        <w:r>
          <w:rPr>
            <w:rFonts w:ascii="Arial" w:hAnsi="Arial" w:cs="Arial" w:eastAsia="Arial"/>
            <w:sz w:val="22"/>
            <w:color w:val="0563C1"/>
            <w:u w:val="single"/>
          </w:rPr>
          <w:t xml:space="preserve">practice tool</w:t>
        </w:r>
      </w:hyperlink>
      <w:r>
        <w:rPr>
          <w:rFonts w:ascii="Arial" w:hAnsi="Arial" w:cs="Arial" w:eastAsia="Arial"/>
          <w:b w:val="0"/>
          <w:color w:val="000000"/>
          <w:sz w:val="22"/>
          <w:u w:val="none"/>
        </w:rPr>
        <w:t xml:space="preserve"> with worked cases, which tell you the house style straight from the source. Then get live reps through </w:t>
      </w:r>
      <w:hyperlink r:id="rId12">
        <w:r>
          <w:rPr>
            <w:rFonts w:ascii="Arial" w:hAnsi="Arial" w:cs="Arial" w:eastAsia="Arial"/>
            <w:sz w:val="22"/>
            <w:color w:val="0563C1"/>
            <w:u w:val="single"/>
          </w:rPr>
          <w:t xml:space="preserve">PrepLounge</w:t>
        </w:r>
      </w:hyperlink>
      <w:r>
        <w:rPr>
          <w:rFonts w:ascii="Arial" w:hAnsi="Arial" w:cs="Arial" w:eastAsia="Arial"/>
          <w:b w:val="0"/>
          <w:color w:val="000000"/>
          <w:sz w:val="22"/>
          <w:u w:val="none"/>
        </w:rPr>
        <w:t xml:space="preserve"> partners. Fifteen to twenty full cases out loud is a competitive floor here, slightly less brutal than the MBB bar.</w:t>
      </w:r>
    </w:p>
    <w:p>
      <w:pPr>
        <w:spacing w:line="480" w:lineRule="auto" w:before="0" w:after="0"/>
      </w:pPr>
      <w:r>
        <w:rPr>
          <w:rFonts w:ascii="Arial" w:hAnsi="Arial" w:cs="Arial" w:eastAsia="Arial"/>
          <w:b/>
          <w:color w:val="000000"/>
          <w:sz w:val="22"/>
          <w:u w:val="none"/>
        </w:rPr>
        <w:t>Deloitte's group case rewards the candidate who makes the room smarter, and that is a rehearsable skill, not a personality trait.</w:t>
      </w:r>
    </w:p>
    <w:p>
      <w:pPr>
        <w:spacing w:line="480" w:lineRule="auto" w:before="0" w:after="0"/>
      </w:pPr>
      <w:r>
        <w:rPr>
          <w:rFonts w:ascii="Arial" w:hAnsi="Arial" w:cs="Arial" w:eastAsia="Arial"/>
          <w:b/>
          <w:color w:val="000000"/>
          <w:sz w:val="36"/>
          <w:u w:val="none"/>
        </w:rPr>
        <w:t>Salaries, trajectory, and where people exit</w:t>
      </w:r>
    </w:p>
    <w:p>
      <w:pPr>
        <w:spacing w:line="480" w:lineRule="auto" w:before="0" w:after="0"/>
      </w:pPr>
      <w:r>
        <w:rPr>
          <w:rFonts w:ascii="Arial" w:hAnsi="Arial" w:cs="Arial" w:eastAsia="Arial"/>
          <w:b w:val="0"/>
          <w:color w:val="000000"/>
          <w:sz w:val="22"/>
          <w:u w:val="none"/>
        </w:rPr>
        <w:t>The Business Analyst path runs BA to Consultant to Senior Consultant to Manager, with the top of the pyramid at Partner and Managing Director. Comp starts at the $90,000 to $100,000 base range with bonuses on top [VERIFY], and MBA sponsorship exists for strong performers.</w:t>
      </w:r>
    </w:p>
    <w:p>
      <w:pPr>
        <w:spacing w:line="480" w:lineRule="auto" w:before="0" w:after="0"/>
      </w:pPr>
      <w:r>
        <w:rPr>
          <w:rFonts w:ascii="Arial" w:hAnsi="Arial" w:cs="Arial" w:eastAsia="Arial"/>
          <w:b w:val="0"/>
          <w:color w:val="000000"/>
          <w:sz w:val="22"/>
          <w:u w:val="none"/>
        </w:rPr>
        <w:t xml:space="preserve">Exits are the honest differentiator to weigh. </w:t>
      </w:r>
      <w:r>
        <w:rPr>
          <w:rFonts w:ascii="Arial" w:hAnsi="Arial" w:cs="Arial" w:eastAsia="Arial"/>
          <w:b/>
          <w:color w:val="000000"/>
          <w:sz w:val="22"/>
          <w:u w:val="none"/>
        </w:rPr>
        <w:t>Monitor Deloitte's exit map runs through Fortune 500 corporate strategy, lateral moves to MBB, and big tech, with private equity thinner than from MBB.</w:t>
      </w:r>
      <w:r>
        <w:rPr>
          <w:rFonts w:ascii="Arial" w:hAnsi="Arial" w:cs="Arial" w:eastAsia="Arial"/>
          <w:b w:val="0"/>
          <w:color w:val="000000"/>
          <w:sz w:val="22"/>
          <w:u w:val="none"/>
        </w:rPr>
        <w:t xml:space="preserve"> Alumni concentrate where strategy work translates directly. Diligence-heavy shops like EY-Parthenon place into PE at higher rates. If PE is the goal, that difference belongs in your decision now, not after two years.</w:t>
      </w:r>
    </w:p>
    <w:p>
      <w:pPr>
        <w:spacing w:line="480" w:lineRule="auto" w:before="0" w:after="0"/>
      </w:pPr>
      <w:r>
        <w:rPr>
          <w:rFonts w:ascii="Arial" w:hAnsi="Arial" w:cs="Arial" w:eastAsia="Arial"/>
          <w:b w:val="0"/>
          <w:color w:val="000000"/>
          <w:sz w:val="22"/>
          <w:u w:val="none"/>
        </w:rPr>
        <w:t>The other cost is legibility. "I was at McKinsey" requires no explanation anywhere on earth. "I was at Monitor Deloitte" sometimes requires the sentence you're reading this article to learn. Recruiters in strategy know exactly what it means. Your aunt won't.</w:t>
      </w:r>
    </w:p>
    <w:p>
      <w:pPr>
        <w:spacing w:line="480" w:lineRule="auto" w:before="0" w:after="0"/>
      </w:pPr>
      <w:r>
        <w:rPr>
          <w:rFonts w:ascii="Arial" w:hAnsi="Arial" w:cs="Arial" w:eastAsia="Arial"/>
          <w:b/>
          <w:color w:val="000000"/>
          <w:sz w:val="36"/>
          <w:u w:val="none"/>
        </w:rPr>
        <w:t>Who should pick Monitor Deloitte, honestly</w:t>
      </w:r>
    </w:p>
    <w:p>
      <w:pPr>
        <w:spacing w:line="480" w:lineRule="auto" w:before="0" w:after="0"/>
      </w:pPr>
      <w:r>
        <w:rPr>
          <w:rFonts w:ascii="Arial" w:hAnsi="Arial" w:cs="Arial" w:eastAsia="Arial"/>
          <w:b w:val="0"/>
          <w:color w:val="000000"/>
          <w:sz w:val="22"/>
          <w:u w:val="none"/>
        </w:rPr>
        <w:t>The case for: you want strategy work with a real methodology heritage, larger class sizes improve your odds, the comp gap to MBB is single-digit percentages in year one, and the corporate strategy exit network is deep.</w:t>
      </w:r>
    </w:p>
    <w:p>
      <w:pPr>
        <w:spacing w:line="480" w:lineRule="auto" w:before="0" w:after="0"/>
      </w:pPr>
      <w:r>
        <w:rPr>
          <w:rFonts w:ascii="Arial" w:hAnsi="Arial" w:cs="Arial" w:eastAsia="Arial"/>
          <w:b w:val="0"/>
          <w:color w:val="000000"/>
          <w:sz w:val="22"/>
          <w:u w:val="none"/>
        </w:rPr>
        <w:t>The case against: if your target is PE, MBB and EY-Parthenon place better. If your target is maximum brand shorthand, MBB wins. And inside a firm of Deloitte's size, staffing onto the purest strategy work takes self-advocacy that a smaller firm wouldn't require.</w:t>
      </w:r>
    </w:p>
    <w:p>
      <w:pPr>
        <w:spacing w:line="480" w:lineRule="auto" w:before="0" w:after="0"/>
      </w:pPr>
      <w:r>
        <w:rPr>
          <w:rFonts w:ascii="Arial" w:hAnsi="Arial" w:cs="Arial" w:eastAsia="Arial"/>
          <w:b w:val="0"/>
          <w:color w:val="000000"/>
          <w:sz w:val="22"/>
          <w:u w:val="none"/>
        </w:rPr>
        <w:t>Both lists are true at once. Pick based on which costs you can live with.</w:t>
      </w:r>
    </w:p>
    <w:p>
      <w:pPr>
        <w:spacing w:line="480" w:lineRule="auto" w:before="0" w:after="0"/>
      </w:pPr>
      <w:r>
        <w:rPr>
          <w:rFonts w:ascii="Arial" w:hAnsi="Arial" w:cs="Arial" w:eastAsia="Arial"/>
          <w:b/>
          <w:color w:val="000000"/>
          <w:sz w:val="36"/>
          <w:u w:val="none"/>
        </w:rPr>
        <w:t>Say this, don't say that: the Monitor Deloitte answers</w:t>
      </w:r>
    </w:p>
    <w:p>
      <w:pPr>
        <w:spacing w:line="480" w:lineRule="auto" w:before="0" w:after="0"/>
      </w:pPr>
      <w:r>
        <w:rPr>
          <w:rFonts w:ascii="Arial" w:hAnsi="Arial" w:cs="Arial" w:eastAsia="Arial"/>
          <w:b/>
          <w:color w:val="000000"/>
          <w:sz w:val="22"/>
          <w:u w:val="none"/>
        </w:rPr>
        <w:t>Why Monitor Deloitte?</w:t>
      </w:r>
    </w:p>
    <w:p>
      <w:pPr>
        <w:spacing w:line="480" w:lineRule="auto" w:before="0" w:after="0"/>
      </w:pPr>
      <w:r>
        <w:rPr>
          <w:rFonts w:ascii="Arial" w:hAnsi="Arial" w:cs="Arial" w:eastAsia="Arial"/>
          <w:b w:val="0"/>
          <w:color w:val="000000"/>
          <w:sz w:val="22"/>
          <w:u w:val="none"/>
        </w:rPr>
        <w:t>Don't say: "Deloitte is a great company with great values."</w:t>
      </w:r>
    </w:p>
    <w:p>
      <w:pPr>
        <w:spacing w:line="480" w:lineRule="auto" w:before="0" w:after="0"/>
      </w:pPr>
      <w:r>
        <w:rPr>
          <w:rFonts w:ascii="Arial" w:hAnsi="Arial" w:cs="Arial" w:eastAsia="Arial"/>
          <w:b w:val="0"/>
          <w:color w:val="000000"/>
          <w:sz w:val="22"/>
          <w:u w:val="none"/>
        </w:rPr>
        <w:t>Say: "I want strategy work specifically, and Monitor's growth and M&amp;A strategy engagements are that work. I spoke with a Business Analyst who described a category-entry study for a consumer client, and that's the exact analysis I want reps in." [VERIFY: keep your named conversation real]</w:t>
      </w:r>
    </w:p>
    <w:p>
      <w:pPr>
        <w:spacing w:line="480" w:lineRule="auto" w:before="0" w:after="0"/>
      </w:pPr>
      <w:r>
        <w:rPr>
          <w:rFonts w:ascii="Arial" w:hAnsi="Arial" w:cs="Arial" w:eastAsia="Arial"/>
          <w:b/>
          <w:color w:val="000000"/>
          <w:sz w:val="22"/>
          <w:u w:val="none"/>
        </w:rPr>
        <w:t>Why not MBB?</w:t>
      </w:r>
    </w:p>
    <w:p>
      <w:pPr>
        <w:spacing w:line="480" w:lineRule="auto" w:before="0" w:after="0"/>
      </w:pPr>
      <w:r>
        <w:rPr>
          <w:rFonts w:ascii="Arial" w:hAnsi="Arial" w:cs="Arial" w:eastAsia="Arial"/>
          <w:b w:val="0"/>
          <w:color w:val="000000"/>
          <w:sz w:val="22"/>
          <w:u w:val="none"/>
        </w:rPr>
        <w:t>Don't say: "I'm applying there too, this is my backup."</w:t>
      </w:r>
    </w:p>
    <w:p>
      <w:pPr>
        <w:spacing w:line="480" w:lineRule="auto" w:before="0" w:after="0"/>
      </w:pPr>
      <w:r>
        <w:rPr>
          <w:rFonts w:ascii="Arial" w:hAnsi="Arial" w:cs="Arial" w:eastAsia="Arial"/>
          <w:b w:val="0"/>
          <w:color w:val="000000"/>
          <w:sz w:val="22"/>
          <w:u w:val="none"/>
        </w:rPr>
        <w:t>Say: "I'm targeting strategy seats, plural, and Monitor Deloitte is on that list on its own merits: Porter-lineage strategy work inside a platform with more industry depth than any boutique."</w:t>
      </w:r>
    </w:p>
    <w:p>
      <w:pPr>
        <w:spacing w:line="480" w:lineRule="auto" w:before="0" w:after="0"/>
      </w:pPr>
      <w:r>
        <w:rPr>
          <w:rFonts w:ascii="Arial" w:hAnsi="Arial" w:cs="Arial" w:eastAsia="Arial"/>
          <w:b/>
          <w:color w:val="000000"/>
          <w:sz w:val="22"/>
          <w:u w:val="none"/>
        </w:rPr>
        <w:t>In the group case.</w:t>
      </w:r>
    </w:p>
    <w:p>
      <w:pPr>
        <w:spacing w:line="480" w:lineRule="auto" w:before="0" w:after="0"/>
      </w:pPr>
      <w:r>
        <w:rPr>
          <w:rFonts w:ascii="Arial" w:hAnsi="Arial" w:cs="Arial" w:eastAsia="Arial"/>
          <w:b w:val="0"/>
          <w:color w:val="000000"/>
          <w:sz w:val="22"/>
          <w:u w:val="none"/>
        </w:rPr>
        <w:t>Don't say: the most words in the room.</w:t>
      </w:r>
    </w:p>
    <w:p>
      <w:pPr>
        <w:spacing w:line="480" w:lineRule="auto" w:before="0" w:after="0"/>
      </w:pPr>
      <w:r>
        <w:rPr>
          <w:rFonts w:ascii="Arial" w:hAnsi="Arial" w:cs="Arial" w:eastAsia="Arial"/>
          <w:b w:val="0"/>
          <w:color w:val="000000"/>
          <w:sz w:val="22"/>
          <w:u w:val="none"/>
        </w:rPr>
        <w:t>Say: the sentence that moves the answer forward. "We've got two options on the table; the revenue data supports the second, so let's pressure-test that one" gets scored. Volume doesn't.</w:t>
      </w:r>
    </w:p>
    <w:p>
      <w:pPr>
        <w:spacing w:line="480" w:lineRule="auto" w:before="0" w:after="0"/>
      </w:pPr>
      <w:r>
        <w:rPr>
          <w:rFonts w:ascii="Arial" w:hAnsi="Arial" w:cs="Arial" w:eastAsia="Arial"/>
          <w:b/>
          <w:color w:val="000000"/>
          <w:sz w:val="36"/>
          <w:u w:val="none"/>
        </w:rPr>
        <w:t>The move to make this week</w:t>
      </w:r>
    </w:p>
    <w:p>
      <w:pPr>
        <w:spacing w:line="480" w:lineRule="auto" w:before="0" w:after="0"/>
      </w:pPr>
      <w:r>
        <w:rPr>
          <w:rFonts w:ascii="Arial" w:hAnsi="Arial" w:cs="Arial" w:eastAsia="Arial"/>
          <w:b w:val="0"/>
          <w:color w:val="000000"/>
          <w:sz w:val="22"/>
          <w:u w:val="none"/>
        </w:rPr>
        <w:t>If you're a rising senior or junior, check apply.deloitte.com now, because Deloitte's windows open early and roll fast [VERIFY: current postings]. Search for the strategy-designated Summer Scholar posting rather than the generic consulting one. If you're a sophomore, put the Discovery Internship on your fall list and use the year to build one leadership story with a number in it.</w:t>
      </w:r>
    </w:p>
    <w:p>
      <w:pPr>
        <w:spacing w:line="480" w:lineRule="auto" w:before="0" w:after="0"/>
      </w:pPr>
      <w:r>
        <w:rPr>
          <w:rFonts w:ascii="Arial" w:hAnsi="Arial" w:cs="Arial" w:eastAsia="Arial"/>
          <w:b w:val="0"/>
          <w:color w:val="000000"/>
          <w:sz w:val="22"/>
          <w:u w:val="none"/>
        </w:rPr>
        <w:t>Monitor Deloitte rewards students who did the ten minutes of homework to learn what it is. That's the whole filter. Most of your competition won't do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deloitte.com/us/en/careers/students.html" TargetMode="External"/><Relationship Id="rId10" Type="http://schemas.openxmlformats.org/officeDocument/2006/relationships/hyperlink" Target="https://www.deloitte.com/us/en/careers/join-deloitte/recruiting-tips/case-and-scenario-interview-tips.html" TargetMode="External"/><Relationship Id="rId11" Type="http://schemas.openxmlformats.org/officeDocument/2006/relationships/hyperlink" Target="https://caseinterviewprep.deloitte.com/" TargetMode="External"/><Relationship Id="rId12" Type="http://schemas.openxmlformats.org/officeDocument/2006/relationships/hyperlink" Target="https://www.preplounge.com/en/management-consulting-ca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