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Guide to Evercore Restructuring</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Evercore Restructuring: the both-sides franchise, the analyst seat, the interview bar, comp, exits, and the prep plan.</w:t>
      </w:r>
    </w:p>
    <w:p>
      <w:pPr>
        <w:spacing w:line="480" w:lineRule="auto" w:before="0" w:after="0"/>
      </w:pPr>
      <w:r>
        <w:rPr>
          <w:rFonts w:ascii="Arial" w:hAnsi="Arial" w:cs="Arial" w:eastAsia="Arial"/>
          <w:b w:val="0"/>
          <w:color w:val="000000"/>
          <w:sz w:val="22"/>
          <w:u w:val="none"/>
        </w:rPr>
        <w:t>Students apply to Evercore Restructuring with M&amp;A answers. The firm's merger franchise is famous enough that candidates assume RX is a department of it, write "why Evercore" essays about advisory excellence, and get screened out by the first interviewer who asks a waterfall question.</w:t>
      </w:r>
    </w:p>
    <w:p>
      <w:pPr>
        <w:spacing w:line="480" w:lineRule="auto" w:before="0" w:after="0"/>
      </w:pPr>
      <w:r>
        <w:rPr>
          <w:rFonts w:ascii="Arial" w:hAnsi="Arial" w:cs="Arial" w:eastAsia="Arial"/>
          <w:b w:val="0"/>
          <w:color w:val="000000"/>
          <w:sz w:val="22"/>
          <w:u w:val="none"/>
        </w:rPr>
        <w:t xml:space="preserve">The group deserves better preparation than that. </w:t>
      </w:r>
      <w:r>
        <w:rPr>
          <w:rFonts w:ascii="Arial" w:hAnsi="Arial" w:cs="Arial" w:eastAsia="Arial"/>
          <w:b/>
          <w:color w:val="000000"/>
          <w:sz w:val="22"/>
          <w:u w:val="none"/>
        </w:rPr>
        <w:t>Evercore runs one of the few Tier 1 restructuring practices that regularly works both debtor and creditor mandates at the top of the market, and it staffs RX as its own analyst pool, separate from M&amp;A.</w:t>
      </w:r>
      <w:r>
        <w:rPr>
          <w:rFonts w:ascii="Arial" w:hAnsi="Arial" w:cs="Arial" w:eastAsia="Arial"/>
          <w:b w:val="0"/>
          <w:color w:val="000000"/>
          <w:sz w:val="22"/>
          <w:u w:val="none"/>
        </w:rPr>
        <w:t xml:space="preserve"> In 2025 the group advised the ad hoc creditor group on the First Brands Chapter 11 while Lazard ran the debtor side [VERIFY: mandate details], the kind of marquee creditor work that sits alongside its company-side mandates year after year.</w:t>
      </w:r>
    </w:p>
    <w:p>
      <w:pPr>
        <w:spacing w:line="480" w:lineRule="auto" w:before="0" w:after="0"/>
      </w:pPr>
      <w:r>
        <w:rPr>
          <w:rFonts w:ascii="Arial" w:hAnsi="Arial" w:cs="Arial" w:eastAsia="Arial"/>
          <w:b w:val="0"/>
          <w:color w:val="000000"/>
          <w:sz w:val="22"/>
          <w:u w:val="none"/>
        </w:rPr>
        <w:t>This guide covers the group itself: what makes the franchise different, the work, the recruiting path, the numbers, and the exits. For round-by-round interview prep, our separate guide to Evercore investment banking interview questions covers the Superday format and the second-derivative technical drill; this piece is the RX-specific layer on top of it.</w:t>
      </w:r>
    </w:p>
    <w:p>
      <w:pPr>
        <w:spacing w:line="480" w:lineRule="auto" w:before="0" w:after="0"/>
      </w:pPr>
      <w:r>
        <w:rPr>
          <w:rFonts w:ascii="Arial" w:hAnsi="Arial" w:cs="Arial" w:eastAsia="Arial"/>
          <w:b/>
          <w:color w:val="000000"/>
          <w:sz w:val="36"/>
          <w:u w:val="none"/>
        </w:rPr>
        <w:t>Is Evercore Restructuring separate from Evercore M&amp;A?</w:t>
      </w:r>
    </w:p>
    <w:p>
      <w:pPr>
        <w:spacing w:line="480" w:lineRule="auto" w:before="0" w:after="0"/>
      </w:pPr>
      <w:r>
        <w:rPr>
          <w:rFonts w:ascii="Arial" w:hAnsi="Arial" w:cs="Arial" w:eastAsia="Arial"/>
          <w:b w:val="0"/>
          <w:color w:val="000000"/>
          <w:sz w:val="22"/>
          <w:u w:val="none"/>
        </w:rPr>
        <w:t>Yes, and it changes your application. Evercore staffs restructuring through a largely separate analyst pool, so you apply to RX, interview with RX bankers, and get tested on RX material [VERIFY: current program structure]. The M&amp;A track gets heavier merger-model and accretion questions; the RX track gets waterfalls and cap tables. A generalist or M&amp;A offer is not a back door into the group.</w:t>
      </w:r>
    </w:p>
    <w:p>
      <w:pPr>
        <w:spacing w:line="480" w:lineRule="auto" w:before="0" w:after="0"/>
      </w:pPr>
      <w:r>
        <w:rPr>
          <w:rFonts w:ascii="Arial" w:hAnsi="Arial" w:cs="Arial" w:eastAsia="Arial"/>
          <w:b/>
          <w:color w:val="000000"/>
          <w:sz w:val="36"/>
          <w:u w:val="none"/>
        </w:rPr>
        <w:t>How hard is it to get into Evercore Restructuring?</w:t>
      </w:r>
    </w:p>
    <w:p>
      <w:pPr>
        <w:spacing w:line="480" w:lineRule="auto" w:before="0" w:after="0"/>
      </w:pPr>
      <w:r>
        <w:rPr>
          <w:rFonts w:ascii="Arial" w:hAnsi="Arial" w:cs="Arial" w:eastAsia="Arial"/>
          <w:b w:val="0"/>
          <w:color w:val="000000"/>
          <w:sz w:val="22"/>
          <w:u w:val="none"/>
        </w:rPr>
        <w:t>Tier 1 RX seats, PJT, Evercore, Houlihan Lokey, Lazard, Moelis, run implied acceptance below 1.5 percent, and Evercore's small class sizes hold that math. The candidates who clear it typically started dedicated RX prep about six months before applications, which is the honest calibration for your own timeline.</w:t>
      </w:r>
    </w:p>
    <w:p>
      <w:pPr>
        <w:spacing w:line="480" w:lineRule="auto" w:before="0" w:after="0"/>
      </w:pPr>
      <w:r>
        <w:rPr>
          <w:rFonts w:ascii="Arial" w:hAnsi="Arial" w:cs="Arial" w:eastAsia="Arial"/>
          <w:b/>
          <w:color w:val="000000"/>
          <w:sz w:val="36"/>
          <w:u w:val="none"/>
        </w:rPr>
        <w:t>Start with the firm's perspective</w:t>
      </w:r>
    </w:p>
    <w:p>
      <w:pPr>
        <w:spacing w:line="480" w:lineRule="auto" w:before="0" w:after="0"/>
      </w:pPr>
      <w:r>
        <w:rPr>
          <w:rFonts w:ascii="Arial" w:hAnsi="Arial" w:cs="Arial" w:eastAsia="Arial"/>
          <w:b w:val="0"/>
          <w:color w:val="000000"/>
          <w:sz w:val="22"/>
          <w:u w:val="none"/>
        </w:rPr>
        <w:t>Why does Evercore have a restructuring group at all, and why does it win mandates against four other elite firms?</w:t>
      </w:r>
    </w:p>
    <w:p>
      <w:pPr>
        <w:spacing w:line="480" w:lineRule="auto" w:before="0" w:after="0"/>
      </w:pPr>
      <w:r>
        <w:rPr>
          <w:rFonts w:ascii="Arial" w:hAnsi="Arial" w:cs="Arial" w:eastAsia="Arial"/>
          <w:b w:val="0"/>
          <w:color w:val="000000"/>
          <w:sz w:val="22"/>
          <w:u w:val="none"/>
        </w:rPr>
        <w:t>The first half is structural. Bulge brackets underwrite and hold the debt of the companies that later restructure, and their research desks publish ratings on those companies. A distressed board can't take advice from a conflicted bank, so the work concentrates at independent advisors. That's the standard story, and every Tier 1 candidate should tell it in two sentences.</w:t>
      </w:r>
    </w:p>
    <w:p>
      <w:pPr>
        <w:spacing w:line="480" w:lineRule="auto" w:before="0" w:after="0"/>
      </w:pPr>
      <w:r>
        <w:rPr>
          <w:rFonts w:ascii="Arial" w:hAnsi="Arial" w:cs="Arial" w:eastAsia="Arial"/>
          <w:b w:val="0"/>
          <w:color w:val="000000"/>
          <w:sz w:val="22"/>
          <w:u w:val="none"/>
        </w:rPr>
        <w:t xml:space="preserve">The Evercore-specific half: the firm competes as the full-service independent. Its RX group sits next to the strongest M&amp;A franchise among the independents, which matters in restructurings that end in a sale, a 363 auction, distressed M&amp;A, an asset carve-out. When a mandate needs both a Chapter 11 strategy and a sale process run simultaneously, Evercore pitches one firm doing both. </w:t>
      </w:r>
      <w:r>
        <w:rPr>
          <w:rFonts w:ascii="Arial" w:hAnsi="Arial" w:cs="Arial" w:eastAsia="Arial"/>
          <w:b/>
          <w:color w:val="000000"/>
          <w:sz w:val="22"/>
          <w:u w:val="none"/>
        </w:rPr>
        <w:t>The analyst consequence is exposure to restructurings that blend into deal work, which is training neither a pure RX shop nor a pure M&amp;A group provides.</w:t>
      </w:r>
    </w:p>
    <w:p>
      <w:pPr>
        <w:spacing w:line="480" w:lineRule="auto" w:before="0" w:after="0"/>
      </w:pPr>
      <w:r>
        <w:rPr>
          <w:rFonts w:ascii="Arial" w:hAnsi="Arial" w:cs="Arial" w:eastAsia="Arial"/>
          <w:b/>
          <w:color w:val="000000"/>
          <w:sz w:val="36"/>
          <w:u w:val="none"/>
        </w:rPr>
        <w:t>What the both-sides franchise teaches, with numbers</w:t>
      </w:r>
    </w:p>
    <w:p>
      <w:pPr>
        <w:spacing w:line="480" w:lineRule="auto" w:before="0" w:after="0"/>
      </w:pPr>
      <w:r>
        <w:rPr>
          <w:rFonts w:ascii="Arial" w:hAnsi="Arial" w:cs="Arial" w:eastAsia="Arial"/>
          <w:b w:val="0"/>
          <w:color w:val="000000"/>
          <w:sz w:val="22"/>
          <w:u w:val="none"/>
        </w:rPr>
        <w:t>Work one situation from both chairs to see the education.</w:t>
      </w:r>
    </w:p>
    <w:p>
      <w:pPr>
        <w:spacing w:line="480" w:lineRule="auto" w:before="0" w:after="0"/>
      </w:pPr>
      <w:r>
        <w:rPr>
          <w:rFonts w:ascii="Arial" w:hAnsi="Arial" w:cs="Arial" w:eastAsia="Arial"/>
          <w:b w:val="0"/>
          <w:color w:val="000000"/>
          <w:sz w:val="22"/>
          <w:u w:val="none"/>
        </w:rPr>
        <w:t>A company carries $1.2 billion of senior secured debt and $400 million of senior unsecured notes. Enterprise value lands around $1.0 billion.</w:t>
      </w:r>
    </w:p>
    <w:p>
      <w:pPr>
        <w:spacing w:line="480" w:lineRule="auto" w:before="0" w:after="0"/>
      </w:pPr>
      <w:r>
        <w:rPr>
          <w:rFonts w:ascii="Arial" w:hAnsi="Arial" w:cs="Arial" w:eastAsia="Arial"/>
          <w:b w:val="0"/>
          <w:color w:val="000000"/>
          <w:sz w:val="22"/>
          <w:u w:val="none"/>
        </w:rPr>
        <w:t>Advising the company, the debtor side, your questions are: how much runway does liquidity give us, what plan of reorganization can win court approval, and what do we offer the unsecured class, whose claims sit underwater, to avoid a year of litigation? You'd model the post-reorg balance sheet the company proposes.</w:t>
      </w:r>
    </w:p>
    <w:p>
      <w:pPr>
        <w:spacing w:line="480" w:lineRule="auto" w:before="0" w:after="0"/>
      </w:pPr>
      <w:r>
        <w:rPr>
          <w:rFonts w:ascii="Arial" w:hAnsi="Arial" w:cs="Arial" w:eastAsia="Arial"/>
          <w:b w:val="0"/>
          <w:color w:val="000000"/>
          <w:sz w:val="22"/>
          <w:u w:val="none"/>
        </w:rPr>
        <w:t>Advising the creditors, your questions invert: value breaks inside the senior secured class ($1.0 billion of value against $1.2 billion of secured claims, roughly 83 cents recovery, unsecured near zero), so the secured lenders are the fulcrum and will own the company. Is the debtor's valuation honest, or set low to hand the equity to insiders cheaply? What does the ad hoc group demand in exchange for supporting the plan?</w:t>
      </w:r>
    </w:p>
    <w:p>
      <w:pPr>
        <w:spacing w:line="480" w:lineRule="auto" w:before="0" w:after="0"/>
      </w:pPr>
      <w:r>
        <w:rPr>
          <w:rFonts w:ascii="Arial" w:hAnsi="Arial" w:cs="Arial" w:eastAsia="Arial"/>
          <w:b w:val="0"/>
          <w:color w:val="000000"/>
          <w:sz w:val="22"/>
          <w:u w:val="none"/>
        </w:rPr>
        <w:t>Evercore analysts run both playbooks across a two-year seat. That both-sides fluency is the rarest profile in the distressed talent market, and the funds that hire RX analysts price it accordingly.</w:t>
      </w:r>
    </w:p>
    <w:p>
      <w:pPr>
        <w:spacing w:line="480" w:lineRule="auto" w:before="0" w:after="0"/>
      </w:pPr>
      <w:r>
        <w:rPr>
          <w:rFonts w:ascii="Arial" w:hAnsi="Arial" w:cs="Arial" w:eastAsia="Arial"/>
          <w:b/>
          <w:color w:val="000000"/>
          <w:sz w:val="36"/>
          <w:u w:val="none"/>
        </w:rPr>
        <w:t>The work, week to week</w:t>
      </w:r>
    </w:p>
    <w:p>
      <w:pPr>
        <w:spacing w:line="480" w:lineRule="auto" w:before="0" w:after="0"/>
      </w:pPr>
      <w:r>
        <w:rPr>
          <w:rFonts w:ascii="Arial" w:hAnsi="Arial" w:cs="Arial" w:eastAsia="Arial"/>
          <w:b w:val="0"/>
          <w:color w:val="000000"/>
          <w:sz w:val="22"/>
          <w:u w:val="none"/>
        </w:rPr>
        <w:t>Live mandates set the rhythm. On out-of-court situations, the post-Serta liability management era, Quest Software-style uptiers, exchanges, drop-downs, analysts build recap models: operating models with toggles that flow each proposed transaction through leverage and liquidity. On in-court mandates, the deliverables are the 13-week cash flow that determines whether the company survives the case, and the post-reorg valuation the plan stands on.</w:t>
      </w:r>
    </w:p>
    <w:p>
      <w:pPr>
        <w:spacing w:line="480" w:lineRule="auto" w:before="0" w:after="0"/>
      </w:pPr>
      <w:r>
        <w:rPr>
          <w:rFonts w:ascii="Arial" w:hAnsi="Arial" w:cs="Arial" w:eastAsia="Arial"/>
          <w:b w:val="0"/>
          <w:color w:val="000000"/>
          <w:sz w:val="22"/>
          <w:u w:val="none"/>
        </w:rPr>
        <w:t>Underneath both sits waterfall work, the recovery-by-class analysis from the example above, rebuilt for every scenario the negotiation produces. Court deadlines drive the hours: filing dates and hearing schedules don't move for anyone's weekend.</w:t>
      </w:r>
    </w:p>
    <w:p>
      <w:pPr>
        <w:spacing w:line="480" w:lineRule="auto" w:before="0" w:after="0"/>
      </w:pPr>
      <w:r>
        <w:rPr>
          <w:rFonts w:ascii="Arial" w:hAnsi="Arial" w:cs="Arial" w:eastAsia="Arial"/>
          <w:b w:val="0"/>
          <w:color w:val="000000"/>
          <w:sz w:val="22"/>
          <w:u w:val="none"/>
        </w:rPr>
        <w:t>The texture differs from Evercore M&amp;A in ways worth knowing before you choose a track. The M&amp;A analyst's calendar runs on pitch cycles and process milestones the bank influences. The RX analyst's calendar runs on court dates and creditor deadlines nobody controls, with workstreams that concentrate rather than distribute: on a lean deal team, the liquidity model, the recovery analysis, and half the board materials can all be yours. More ownership per analyst, less predictability per week.</w:t>
      </w:r>
    </w:p>
    <w:p>
      <w:pPr>
        <w:spacing w:line="480" w:lineRule="auto" w:before="0" w:after="0"/>
      </w:pPr>
      <w:r>
        <w:rPr>
          <w:rFonts w:ascii="Arial" w:hAnsi="Arial" w:cs="Arial" w:eastAsia="Arial"/>
          <w:b/>
          <w:color w:val="000000"/>
          <w:sz w:val="36"/>
          <w:u w:val="none"/>
        </w:rPr>
        <w:t>Recruiting and the interview</w:t>
      </w:r>
    </w:p>
    <w:p>
      <w:pPr>
        <w:spacing w:line="480" w:lineRule="auto" w:before="0" w:after="0"/>
      </w:pPr>
      <w:r>
        <w:rPr>
          <w:rFonts w:ascii="Arial" w:hAnsi="Arial" w:cs="Arial" w:eastAsia="Arial"/>
          <w:b w:val="0"/>
          <w:color w:val="000000"/>
          <w:sz w:val="22"/>
          <w:u w:val="none"/>
        </w:rPr>
        <w:t>Evercore runs a dedicated RX Summer Analyst pipeline on the sophomore-fall window; the current cycle opens fall 2026 for Summer 2028 seats [VERIFY: dates on evercore.com]. First round is typically a fast, technical-heavy conversation; the Superday compresses four to six interviews into a half-day, with decisions inside 48 hours, per the pattern our Evercore interview guide documents.</w:t>
      </w:r>
    </w:p>
    <w:p>
      <w:pPr>
        <w:spacing w:line="480" w:lineRule="auto" w:before="0" w:after="0"/>
      </w:pPr>
      <w:r>
        <w:rPr>
          <w:rFonts w:ascii="Arial" w:hAnsi="Arial" w:cs="Arial" w:eastAsia="Arial"/>
          <w:b w:val="0"/>
          <w:color w:val="000000"/>
          <w:sz w:val="22"/>
          <w:u w:val="none"/>
        </w:rPr>
        <w:t>The RX rounds test three layers. Accounting and valuation at the firm's second-derivative depth: the follow-up to your answer, and the follow-up to that. RX technicals: the waterfall walk, cap table reading, instrument mechanics from senior secured through PIK, Chapter 11 process points like 363 sales and exclusivity. And context: why RX lives at independents, plus a live situation you can discuss with a view.</w:t>
      </w:r>
    </w:p>
    <w:p>
      <w:pPr>
        <w:spacing w:line="480" w:lineRule="auto" w:before="0" w:after="0"/>
      </w:pPr>
      <w:r>
        <w:rPr>
          <w:rFonts w:ascii="Arial" w:hAnsi="Arial" w:cs="Arial" w:eastAsia="Arial"/>
          <w:b w:val="0"/>
          <w:color w:val="000000"/>
          <w:sz w:val="22"/>
          <w:u w:val="none"/>
        </w:rPr>
        <w:t xml:space="preserve">For the view, First Brands is the natural Evercore case. Read the docket on </w:t>
      </w:r>
      <w:hyperlink r:id="rId9">
        <w:r>
          <w:rPr>
            <w:rFonts w:ascii="Arial" w:hAnsi="Arial" w:cs="Arial" w:eastAsia="Arial"/>
            <w:sz w:val="22"/>
            <w:color w:val="0563C1"/>
            <w:u w:val="single"/>
          </w:rPr>
          <w:t xml:space="preserve">PACER</w:t>
        </w:r>
      </w:hyperlink>
      <w:r>
        <w:rPr>
          <w:rFonts w:ascii="Arial" w:hAnsi="Arial" w:cs="Arial" w:eastAsia="Arial"/>
          <w:b w:val="0"/>
          <w:color w:val="000000"/>
          <w:sz w:val="22"/>
          <w:u w:val="none"/>
        </w:rPr>
        <w:t xml:space="preserve"> and the </w:t>
      </w:r>
      <w:hyperlink r:id="rId10">
        <w:r>
          <w:rPr>
            <w:rFonts w:ascii="Arial" w:hAnsi="Arial" w:cs="Arial" w:eastAsia="Arial"/>
            <w:sz w:val="22"/>
            <w:color w:val="0563C1"/>
            <w:u w:val="single"/>
          </w:rPr>
          <w:t xml:space="preserve">Pari Passu</w:t>
        </w:r>
      </w:hyperlink>
      <w:r>
        <w:rPr>
          <w:rFonts w:ascii="Arial" w:hAnsi="Arial" w:cs="Arial" w:eastAsia="Arial"/>
          <w:b w:val="0"/>
          <w:color w:val="000000"/>
          <w:sz w:val="22"/>
          <w:u w:val="none"/>
        </w:rPr>
        <w:t xml:space="preserve"> writeups, then decide: did the ad hoc group's advisors win recoveries the class wouldn't have gotten otherwise? </w:t>
      </w:r>
      <w:r>
        <w:rPr>
          <w:rFonts w:ascii="Arial" w:hAnsi="Arial" w:cs="Arial" w:eastAsia="Arial"/>
          <w:b/>
          <w:color w:val="000000"/>
          <w:sz w:val="22"/>
          <w:u w:val="none"/>
        </w:rPr>
        <w:t>Tier 1 RX interviewers pass candidates who hold a defensible view on a live case, because a view is evidence you'll survive a creditor call.</w:t>
      </w:r>
      <w:r>
        <w:rPr>
          <w:rFonts w:ascii="Arial" w:hAnsi="Arial" w:cs="Arial" w:eastAsia="Arial"/>
          <w:b w:val="0"/>
          <w:color w:val="000000"/>
          <w:sz w:val="22"/>
          <w:u w:val="none"/>
        </w:rPr>
        <w:t xml:space="preserve"> Argue it both directions, because Evercore interviewers ask candidates to switch sides mid-answer, and hedging into "both sides have a point" fails the exercise.</w:t>
      </w:r>
    </w:p>
    <w:p>
      <w:pPr>
        <w:spacing w:line="480" w:lineRule="auto" w:before="0" w:after="0"/>
      </w:pPr>
      <w:r>
        <w:rPr>
          <w:rFonts w:ascii="Arial" w:hAnsi="Arial" w:cs="Arial" w:eastAsia="Arial"/>
          <w:b w:val="0"/>
          <w:color w:val="000000"/>
          <w:sz w:val="22"/>
          <w:u w:val="none"/>
        </w:rPr>
        <w:t>The prep canon: Moyer's Distressed Debt Analysis chapters 1 through 6, Kricheff's A Pragmatist's Guide to Leveraged Finance, and five waterfall reps from real cap tables. The full sequence is in our Ultimate Guide to Break Into Restructuring.</w:t>
      </w:r>
    </w:p>
    <w:p>
      <w:pPr>
        <w:spacing w:line="480" w:lineRule="auto" w:before="0" w:after="0"/>
      </w:pPr>
      <w:r>
        <w:rPr>
          <w:rFonts w:ascii="Arial" w:hAnsi="Arial" w:cs="Arial" w:eastAsia="Arial"/>
          <w:b/>
          <w:color w:val="000000"/>
          <w:sz w:val="36"/>
          <w:u w:val="none"/>
        </w:rPr>
        <w:t>Compensation and exits</w:t>
      </w:r>
    </w:p>
    <w:p>
      <w:pPr>
        <w:spacing w:line="480" w:lineRule="auto" w:before="0" w:after="0"/>
      </w:pPr>
      <w:r>
        <w:rPr>
          <w:rFonts w:ascii="Arial" w:hAnsi="Arial" w:cs="Arial" w:eastAsia="Arial"/>
          <w:b w:val="0"/>
          <w:color w:val="000000"/>
          <w:sz w:val="22"/>
          <w:u w:val="none"/>
        </w:rPr>
        <w:t>Elite boutique analyst economics: base around $120,000 to $140,000, first-year all-in past $200,000 at Tier 1 RX groups [VERIFY: current comp]. Hours are true banking hours with court-calendar spikes. Comp differences inside Tier 1 are noise against the differences in what each seat teaches, which is why the franchise question, both sides here, debtor-side at PJT, creditor-side at Houlihan, should outweigh a few thousand dollars in any offer decision.</w:t>
      </w:r>
    </w:p>
    <w:p>
      <w:pPr>
        <w:spacing w:line="480" w:lineRule="auto" w:before="0" w:after="0"/>
      </w:pPr>
      <w:r>
        <w:rPr>
          <w:rFonts w:ascii="Arial" w:hAnsi="Arial" w:cs="Arial" w:eastAsia="Arial"/>
          <w:b w:val="0"/>
          <w:color w:val="000000"/>
          <w:sz w:val="22"/>
          <w:u w:val="none"/>
        </w:rPr>
        <w:t>Exits run the standard Tier 1 map at full strength: credit funds (Oaktree, Apollo Credit, Blackstone Credit, Ares, HPS, Sixth Street, Silver Point, Centerbridge), distressed hedge funds (Elliott, Davidson Kempner, Anchorage, Marathon), and increasingly mega-fund PE, which now interviews RX analysts for regular-way seats. The both-sides training reads especially well at funds that play whole capital structures. And because credit hires year-round, RX analysts skip the compressed on-cycle sprint their M&amp;A classmates run.</w:t>
      </w:r>
    </w:p>
    <w:p>
      <w:pPr>
        <w:spacing w:line="480" w:lineRule="auto" w:before="0" w:after="0"/>
      </w:pPr>
      <w:r>
        <w:rPr>
          <w:rFonts w:ascii="Arial" w:hAnsi="Arial" w:cs="Arial" w:eastAsia="Arial"/>
          <w:b/>
          <w:color w:val="000000"/>
          <w:sz w:val="36"/>
          <w:u w:val="none"/>
        </w:rPr>
        <w:t>The four mistakes that cost candidates this seat</w:t>
      </w:r>
    </w:p>
    <w:p>
      <w:pPr>
        <w:spacing w:line="480" w:lineRule="auto" w:before="0" w:after="0"/>
      </w:pPr>
      <w:r>
        <w:rPr>
          <w:rFonts w:ascii="Arial" w:hAnsi="Arial" w:cs="Arial" w:eastAsia="Arial"/>
          <w:b w:val="0"/>
          <w:color w:val="000000"/>
          <w:sz w:val="22"/>
          <w:u w:val="none"/>
        </w:rPr>
        <w:t>Applying with an M&amp;A story, covered above, and the fastest screen-out in the process.</w:t>
      </w:r>
    </w:p>
    <w:p>
      <w:pPr>
        <w:spacing w:line="480" w:lineRule="auto" w:before="0" w:after="0"/>
      </w:pPr>
      <w:r>
        <w:rPr>
          <w:rFonts w:ascii="Arial" w:hAnsi="Arial" w:cs="Arial" w:eastAsia="Arial"/>
          <w:b w:val="0"/>
          <w:color w:val="000000"/>
          <w:sz w:val="22"/>
          <w:u w:val="none"/>
        </w:rPr>
        <w:t>Preparing models but not process. Interviewers move from a waterfall into Chapter 11 mechanics without warning: first-day motions, 363 sales, why exclusivity matters. An evening with a bankruptcy-process primer prevents the stall.</w:t>
      </w:r>
    </w:p>
    <w:p>
      <w:pPr>
        <w:spacing w:line="480" w:lineRule="auto" w:before="0" w:after="0"/>
      </w:pPr>
      <w:r>
        <w:rPr>
          <w:rFonts w:ascii="Arial" w:hAnsi="Arial" w:cs="Arial" w:eastAsia="Arial"/>
          <w:b w:val="0"/>
          <w:color w:val="000000"/>
          <w:sz w:val="22"/>
          <w:u w:val="none"/>
        </w:rPr>
        <w:t>Hedging on the argue-both-sides exercise. Commit to a position, defend it, switch cleanly when asked. The exercise tests conviction under pressure, not balance.</w:t>
      </w:r>
    </w:p>
    <w:p>
      <w:pPr>
        <w:spacing w:line="480" w:lineRule="auto" w:before="0" w:after="0"/>
      </w:pPr>
      <w:r>
        <w:rPr>
          <w:rFonts w:ascii="Arial" w:hAnsi="Arial" w:cs="Arial" w:eastAsia="Arial"/>
          <w:b w:val="0"/>
          <w:color w:val="000000"/>
          <w:sz w:val="22"/>
          <w:u w:val="none"/>
        </w:rPr>
        <w:t>Skipping networking because the brand is famous. The RX pool is small enough that referrals are visible, and an application with no prior contact reads as spray-and-pray regardless of its polish. Two or three real conversations with current RX analysts, sourced through your alumni database, is the standard.</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Evercore Restructuring specifically?</w:t>
      </w:r>
    </w:p>
    <w:p>
      <w:pPr>
        <w:spacing w:line="480" w:lineRule="auto" w:before="0" w:after="0"/>
      </w:pPr>
      <w:r>
        <w:rPr>
          <w:rFonts w:ascii="Arial" w:hAnsi="Arial" w:cs="Arial" w:eastAsia="Arial"/>
          <w:b w:val="0"/>
          <w:color w:val="000000"/>
          <w:sz w:val="22"/>
          <w:u w:val="none"/>
        </w:rPr>
        <w:t>Don't say: "Evercore is one of the most prestigious advisory firms on Wall Street."</w:t>
      </w:r>
    </w:p>
    <w:p>
      <w:pPr>
        <w:spacing w:line="480" w:lineRule="auto" w:before="0" w:after="0"/>
      </w:pPr>
      <w:r>
        <w:rPr>
          <w:rFonts w:ascii="Arial" w:hAnsi="Arial" w:cs="Arial" w:eastAsia="Arial"/>
          <w:b w:val="0"/>
          <w:color w:val="000000"/>
          <w:sz w:val="22"/>
          <w:u w:val="none"/>
        </w:rPr>
        <w:t>Say: "The group works both sides at the top of the market. I followed First Brands, where Evercore had the ad hoc group opposite Lazard's debtor mandate, and I want the training that comes from running both playbooks."</w:t>
      </w:r>
    </w:p>
    <w:p>
      <w:pPr>
        <w:spacing w:line="480" w:lineRule="auto" w:before="0" w:after="0"/>
      </w:pPr>
      <w:r>
        <w:rPr>
          <w:rFonts w:ascii="Arial" w:hAnsi="Arial" w:cs="Arial" w:eastAsia="Arial"/>
          <w:b/>
          <w:color w:val="000000"/>
          <w:sz w:val="22"/>
          <w:u w:val="none"/>
        </w:rPr>
        <w:t>Walk me through a restructuring you've followed.</w:t>
      </w:r>
    </w:p>
    <w:p>
      <w:pPr>
        <w:spacing w:line="480" w:lineRule="auto" w:before="0" w:after="0"/>
      </w:pPr>
      <w:r>
        <w:rPr>
          <w:rFonts w:ascii="Arial" w:hAnsi="Arial" w:cs="Arial" w:eastAsia="Arial"/>
          <w:b w:val="0"/>
          <w:color w:val="000000"/>
          <w:sz w:val="22"/>
          <w:u w:val="none"/>
        </w:rPr>
        <w:t>Don't say: a two-line summary from a headline.</w:t>
      </w:r>
    </w:p>
    <w:p>
      <w:pPr>
        <w:spacing w:line="480" w:lineRule="auto" w:before="0" w:after="0"/>
      </w:pPr>
      <w:r>
        <w:rPr>
          <w:rFonts w:ascii="Arial" w:hAnsi="Arial" w:cs="Arial" w:eastAsia="Arial"/>
          <w:b w:val="0"/>
          <w:color w:val="000000"/>
          <w:sz w:val="22"/>
          <w:u w:val="none"/>
        </w:rPr>
        <w:t>Say: the capital structure with numbers, the trigger, who advised whom, and your view on who won, in ninety seconds, sourced from the docket.</w:t>
      </w:r>
    </w:p>
    <w:p>
      <w:pPr>
        <w:spacing w:line="480" w:lineRule="auto" w:before="0" w:after="0"/>
      </w:pPr>
      <w:r>
        <w:rPr>
          <w:rFonts w:ascii="Arial" w:hAnsi="Arial" w:cs="Arial" w:eastAsia="Arial"/>
          <w:b/>
          <w:color w:val="000000"/>
          <w:sz w:val="22"/>
          <w:u w:val="none"/>
        </w:rPr>
        <w:t>Would you rather do debtor-side or creditor-side work?</w:t>
      </w:r>
    </w:p>
    <w:p>
      <w:pPr>
        <w:spacing w:line="480" w:lineRule="auto" w:before="0" w:after="0"/>
      </w:pPr>
      <w:r>
        <w:rPr>
          <w:rFonts w:ascii="Arial" w:hAnsi="Arial" w:cs="Arial" w:eastAsia="Arial"/>
          <w:b w:val="0"/>
          <w:color w:val="000000"/>
          <w:sz w:val="22"/>
          <w:u w:val="none"/>
        </w:rPr>
        <w:t>Don't say: "Whichever the group needs."</w:t>
      </w:r>
    </w:p>
    <w:p>
      <w:pPr>
        <w:spacing w:line="480" w:lineRule="auto" w:before="0" w:after="0"/>
      </w:pPr>
      <w:r>
        <w:rPr>
          <w:rFonts w:ascii="Arial" w:hAnsi="Arial" w:cs="Arial" w:eastAsia="Arial"/>
          <w:b w:val="0"/>
          <w:color w:val="000000"/>
          <w:sz w:val="22"/>
          <w:u w:val="none"/>
        </w:rPr>
        <w:t>Say: a real preference with a reason, then the bridge. "Creditor work first, because recovery analysis is where I've built reps, and the reason Evercore specifically is that I'd get the debtor playbook too instead of specializing blind." The both-sides franchise makes this question more likely here than at any peer, and the deflecting answer wastes it.</w:t>
      </w:r>
    </w:p>
    <w:p>
      <w:pPr>
        <w:spacing w:line="480" w:lineRule="auto" w:before="0" w:after="0"/>
      </w:pPr>
      <w:r>
        <w:rPr>
          <w:rFonts w:ascii="Arial" w:hAnsi="Arial" w:cs="Arial" w:eastAsia="Arial"/>
          <w:b/>
          <w:color w:val="000000"/>
          <w:sz w:val="36"/>
          <w:u w:val="none"/>
        </w:rPr>
        <w:t>The plan</w:t>
      </w:r>
    </w:p>
    <w:p>
      <w:pPr>
        <w:spacing w:line="480" w:lineRule="auto" w:before="0" w:after="0"/>
      </w:pPr>
      <w:r>
        <w:rPr>
          <w:rFonts w:ascii="Arial" w:hAnsi="Arial" w:cs="Arial" w:eastAsia="Arial"/>
          <w:b w:val="0"/>
          <w:color w:val="000000"/>
          <w:sz w:val="22"/>
          <w:u w:val="none"/>
        </w:rPr>
        <w:t>Sophomores: start Moyer and the waterfall reps now, hold two Evercore RX conversations by early fall, apply the week the posting opens [VERIFY: date]. Anyone past the SA window: take the best RX seat available at Tier 2 or Tier 3 and use the lateral market, where 12 to 18 months of demonstrated waterfall fluency reopens the Tier 1 doors. The drill that compounds fastest either way: one real cap table, one assumed enterprise value 30 percent below market, the full recovery walk on paper, then the debtor's argument and the creditors' argument out loud. Twenty minutes a rep. The interview is that drill with stakes.</w:t>
      </w:r>
    </w:p>
    <w:p>
      <w:pPr>
        <w:spacing w:line="480" w:lineRule="auto" w:before="0" w:after="0"/>
      </w:pPr>
      <w:r>
        <w:rPr>
          <w:rFonts w:ascii="Arial" w:hAnsi="Arial" w:cs="Arial" w:eastAsia="Arial"/>
          <w:b w:val="0"/>
          <w:color w:val="000000"/>
          <w:sz w:val="22"/>
          <w:u w:val="none"/>
        </w:rPr>
        <w:t>One calibration note for the ambitious: the group's small class size means a strong candidate can do everything right and still miss on numbers. Run the Tier 1 sweep, PJT, Houlihan, Lazard, Moelis alongside Evercore, because the preparation transfers at full value and the tier's exits overlap almost completely.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cer.uscourts.gov" TargetMode="External"/><Relationship Id="rId10" Type="http://schemas.openxmlformats.org/officeDocument/2006/relationships/hyperlink" Target="https://restructuringnewsle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