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Houlihan Lokey Restructuring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Houlihan Lokey Restructuring: the creditor-side franchise, the analyst seat, interview prep, comp, exits, and the path in.</w:t>
      </w:r>
    </w:p>
    <w:p>
      <w:pPr>
        <w:spacing w:line="480" w:lineRule="auto" w:before="0" w:after="0"/>
      </w:pPr>
      <w:r>
        <w:rPr>
          <w:rFonts w:ascii="Arial" w:hAnsi="Arial" w:cs="Arial" w:eastAsia="Arial"/>
          <w:b w:val="0"/>
          <w:color w:val="000000"/>
          <w:sz w:val="22"/>
          <w:u w:val="none"/>
        </w:rPr>
        <w:t>Houlihan Lokey routinely tops the restructuring league tables by number of deals, runs the largest restructuring team on the Street, and still gets ranked third or fourth by students sorting purely on prestige. That gap between the league table and the perception is worth money to a prepared candidate.</w:t>
      </w:r>
    </w:p>
    <w:p>
      <w:pPr>
        <w:spacing w:line="480" w:lineRule="auto" w:before="0" w:after="0"/>
      </w:pPr>
      <w:r>
        <w:rPr>
          <w:rFonts w:ascii="Arial" w:hAnsi="Arial" w:cs="Arial" w:eastAsia="Arial"/>
          <w:b/>
          <w:color w:val="000000"/>
          <w:sz w:val="22"/>
          <w:u w:val="none"/>
        </w:rPr>
        <w:t>Houlihan is the dominant creditor-side franchise in global restructuring, and its team size means more Tier 1 analyst seats per cycle than any peer.</w:t>
      </w:r>
      <w:r>
        <w:rPr>
          <w:rFonts w:ascii="Arial" w:hAnsi="Arial" w:cs="Arial" w:eastAsia="Arial"/>
          <w:b w:val="0"/>
          <w:color w:val="000000"/>
          <w:sz w:val="22"/>
          <w:u w:val="none"/>
        </w:rPr>
        <w:t xml:space="preserve"> More seats doesn't mean a lower bar, the filter runs the same sub-1.5 percent as the rest of Tier 1, but it means more winners each year, and a lateral machine that keeps hiring proven RX talent between cycles. This guide covers the creditor franchise, what the seat teaches, the interview, and the two ways in. Industry-wide context lives in our Ultimate Guide to Break Into Restructuring.</w:t>
      </w:r>
    </w:p>
    <w:p>
      <w:pPr>
        <w:spacing w:line="480" w:lineRule="auto" w:before="0" w:after="0"/>
      </w:pPr>
      <w:r>
        <w:rPr>
          <w:rFonts w:ascii="Arial" w:hAnsi="Arial" w:cs="Arial" w:eastAsia="Arial"/>
          <w:b/>
          <w:color w:val="000000"/>
          <w:sz w:val="36"/>
          <w:u w:val="none"/>
        </w:rPr>
        <w:t>What is Houlihan Lokey known for in restructuring?</w:t>
      </w:r>
    </w:p>
    <w:p>
      <w:pPr>
        <w:spacing w:line="480" w:lineRule="auto" w:before="0" w:after="0"/>
      </w:pPr>
      <w:r>
        <w:rPr>
          <w:rFonts w:ascii="Arial" w:hAnsi="Arial" w:cs="Arial" w:eastAsia="Arial"/>
          <w:b w:val="0"/>
          <w:color w:val="000000"/>
          <w:sz w:val="22"/>
          <w:u w:val="none"/>
        </w:rPr>
        <w:t>Creditor-side work at volume. When a company stumbles, its lenders and bondholders organize and hire their own advisor, and Houlihan wins more of those mandates than any firm in the market. In 2025 that included advising the ad hoc lender group on Marelli's Chapter 11 alongside Akin Gump [VERIFY: mandate details]. The firm wins major debtor-side mandates too; the creditor franchise is the crown jewel, not the whole crown.</w:t>
      </w:r>
    </w:p>
    <w:p>
      <w:pPr>
        <w:spacing w:line="480" w:lineRule="auto" w:before="0" w:after="0"/>
      </w:pPr>
      <w:r>
        <w:rPr>
          <w:rFonts w:ascii="Arial" w:hAnsi="Arial" w:cs="Arial" w:eastAsia="Arial"/>
          <w:b/>
          <w:color w:val="000000"/>
          <w:sz w:val="36"/>
          <w:u w:val="none"/>
        </w:rPr>
        <w:t>Is Houlihan Lokey easier to get into than PJT or Evercore?</w:t>
      </w:r>
    </w:p>
    <w:p>
      <w:pPr>
        <w:spacing w:line="480" w:lineRule="auto" w:before="0" w:after="0"/>
      </w:pPr>
      <w:r>
        <w:rPr>
          <w:rFonts w:ascii="Arial" w:hAnsi="Arial" w:cs="Arial" w:eastAsia="Arial"/>
          <w:b w:val="0"/>
          <w:color w:val="000000"/>
          <w:sz w:val="22"/>
          <w:u w:val="none"/>
        </w:rPr>
        <w:t xml:space="preserve">The per-seat odds are similar; the seat count isn't. </w:t>
      </w:r>
      <w:r>
        <w:rPr>
          <w:rFonts w:ascii="Arial" w:hAnsi="Arial" w:cs="Arial" w:eastAsia="Arial"/>
          <w:b/>
          <w:color w:val="000000"/>
          <w:sz w:val="22"/>
          <w:u w:val="none"/>
        </w:rPr>
        <w:t>Houlihan runs the same sub-1.5 percent bar as the rest of Tier 1, with more seats per cycle and the most active lateral market in restructuring.</w:t>
      </w:r>
      <w:r>
        <w:rPr>
          <w:rFonts w:ascii="Arial" w:hAnsi="Arial" w:cs="Arial" w:eastAsia="Arial"/>
          <w:b w:val="0"/>
          <w:color w:val="000000"/>
          <w:sz w:val="22"/>
          <w:u w:val="none"/>
        </w:rPr>
        <w:t xml:space="preserve"> A strong candidate has more distinct paths in here than anywhere else in the tier.</w:t>
      </w:r>
    </w:p>
    <w:p>
      <w:pPr>
        <w:spacing w:line="480" w:lineRule="auto" w:before="0" w:after="0"/>
      </w:pPr>
      <w:r>
        <w:rPr>
          <w:rFonts w:ascii="Arial" w:hAnsi="Arial" w:cs="Arial" w:eastAsia="Arial"/>
          <w:b/>
          <w:color w:val="000000"/>
          <w:sz w:val="36"/>
          <w:u w:val="none"/>
        </w:rPr>
        <w:t>Creditor-side work, explained like you'll be tested on it</w:t>
      </w:r>
    </w:p>
    <w:p>
      <w:pPr>
        <w:spacing w:line="480" w:lineRule="auto" w:before="0" w:after="0"/>
      </w:pPr>
      <w:r>
        <w:rPr>
          <w:rFonts w:ascii="Arial" w:hAnsi="Arial" w:cs="Arial" w:eastAsia="Arial"/>
          <w:b w:val="0"/>
          <w:color w:val="000000"/>
          <w:sz w:val="22"/>
          <w:u w:val="none"/>
        </w:rPr>
        <w:t>Three mechanics define the franchise, and RX interviews at Houlihan probe all three.</w:t>
      </w:r>
    </w:p>
    <w:p>
      <w:pPr>
        <w:spacing w:line="480" w:lineRule="auto" w:before="0" w:after="0"/>
      </w:pPr>
      <w:r>
        <w:rPr>
          <w:rFonts w:ascii="Arial" w:hAnsi="Arial" w:cs="Arial" w:eastAsia="Arial"/>
          <w:b w:val="0"/>
          <w:color w:val="000000"/>
          <w:sz w:val="22"/>
          <w:u w:val="none"/>
        </w:rPr>
        <w:t>Ad hoc groups. When a borrower weakens, its lenders don't act alone; holders organize into an ad hoc group, hire counsel and a financial advisor, and negotiate as a bloc. Houlihan is the financial advisor in that sentence more often than anyone. The analyst work: recovery analysis for the group, evaluation of the company's proposals, and the counterproposals that become the negotiation.</w:t>
      </w:r>
    </w:p>
    <w:p>
      <w:pPr>
        <w:spacing w:line="480" w:lineRule="auto" w:before="0" w:after="0"/>
      </w:pPr>
      <w:r>
        <w:rPr>
          <w:rFonts w:ascii="Arial" w:hAnsi="Arial" w:cs="Arial" w:eastAsia="Arial"/>
          <w:b w:val="0"/>
          <w:color w:val="000000"/>
          <w:sz w:val="22"/>
          <w:u w:val="none"/>
        </w:rPr>
        <w:t>Restructuring support agreements. Deals get done when enough creditors sign an RSA committing to support a plan on negotiated terms. Getting a group to yes requires knowing what each holder's recovery looks like under every alternative, which is the waterfall run scenario by scenario.</w:t>
      </w:r>
    </w:p>
    <w:p>
      <w:pPr>
        <w:spacing w:line="480" w:lineRule="auto" w:before="0" w:after="0"/>
      </w:pPr>
      <w:r>
        <w:rPr>
          <w:rFonts w:ascii="Arial" w:hAnsi="Arial" w:cs="Arial" w:eastAsia="Arial"/>
          <w:b w:val="0"/>
          <w:color w:val="000000"/>
          <w:sz w:val="22"/>
          <w:u w:val="none"/>
        </w:rPr>
        <w:t>Coercive exchanges and the LME era. The post-Serta playbook, non-pro-rata uptiers, drop-downs, exchanges that subordinate non-participating holders, made lender-versus-lender conflict routine. Situations like the Quest Software five-tranche uptier are exactly where lender groups need an advisor before the company even admits distress. Houlihan analysts live inside this coalition game.</w:t>
      </w:r>
    </w:p>
    <w:p>
      <w:pPr>
        <w:spacing w:line="480" w:lineRule="auto" w:before="0" w:after="0"/>
      </w:pPr>
      <w:r>
        <w:rPr>
          <w:rFonts w:ascii="Arial" w:hAnsi="Arial" w:cs="Arial" w:eastAsia="Arial"/>
          <w:b w:val="0"/>
          <w:color w:val="000000"/>
          <w:sz w:val="22"/>
          <w:u w:val="none"/>
        </w:rPr>
        <w:t>A creditor mandate, week to week, looks like this from the analyst chair: the group's recovery model updated for the company's latest counterproposal, a Tuesday call where twelve funds with different cost bases argue about whether to extend maturities, scenario runs overnight for the steering committee, and a term sheet redline where your leverage math sets the group's ask. The company's advisors run one client's numbers. You run the whole group's, against each other as much as against the debtor.</w:t>
      </w:r>
    </w:p>
    <w:p>
      <w:pPr>
        <w:spacing w:line="480" w:lineRule="auto" w:before="0" w:after="0"/>
      </w:pPr>
      <w:r>
        <w:rPr>
          <w:rFonts w:ascii="Arial" w:hAnsi="Arial" w:cs="Arial" w:eastAsia="Arial"/>
          <w:b/>
          <w:color w:val="000000"/>
          <w:sz w:val="22"/>
          <w:u w:val="none"/>
        </w:rPr>
        <w:t>Two years advising creditor groups means two years auditioning in front of the credit funds and distressed desks that are the seat's natural exits, on their own decision problems.</w:t>
      </w:r>
      <w:r>
        <w:rPr>
          <w:rFonts w:ascii="Arial" w:hAnsi="Arial" w:cs="Arial" w:eastAsia="Arial"/>
          <w:b w:val="0"/>
          <w:color w:val="000000"/>
          <w:sz w:val="22"/>
          <w:u w:val="none"/>
        </w:rPr>
        <w:t xml:space="preserve"> That is the quiet mechanical reason Houlihan's exits punch at the level they do.</w:t>
      </w:r>
    </w:p>
    <w:p>
      <w:pPr>
        <w:spacing w:line="480" w:lineRule="auto" w:before="0" w:after="0"/>
      </w:pPr>
      <w:r>
        <w:rPr>
          <w:rFonts w:ascii="Arial" w:hAnsi="Arial" w:cs="Arial" w:eastAsia="Arial"/>
          <w:b/>
          <w:color w:val="000000"/>
          <w:sz w:val="36"/>
          <w:u w:val="none"/>
        </w:rPr>
        <w:t>The waterfall, from the creditor chair</w:t>
      </w:r>
    </w:p>
    <w:p>
      <w:pPr>
        <w:spacing w:line="480" w:lineRule="auto" w:before="0" w:after="0"/>
      </w:pPr>
      <w:r>
        <w:rPr>
          <w:rFonts w:ascii="Arial" w:hAnsi="Arial" w:cs="Arial" w:eastAsia="Arial"/>
          <w:b w:val="0"/>
          <w:color w:val="000000"/>
          <w:sz w:val="22"/>
          <w:u w:val="none"/>
        </w:rPr>
        <w:t>The same drill every RX group runs, with the creditor twist. Structure: $1.2 billion senior secured, $400 million senior unsecured, equity beneath. At a $1.0 billion enterprise value, secured recovers roughly 83 cents, unsecured recovers nothing, and the secured class is the fulcrum, positioned to own the company. At $1.4 billion, secured is whole, unsecured recovers 50 cents, and the fulcrum moves down a class.</w:t>
      </w:r>
    </w:p>
    <w:p>
      <w:pPr>
        <w:spacing w:line="480" w:lineRule="auto" w:before="0" w:after="0"/>
      </w:pPr>
      <w:r>
        <w:rPr>
          <w:rFonts w:ascii="Arial" w:hAnsi="Arial" w:cs="Arial" w:eastAsia="Arial"/>
          <w:b w:val="0"/>
          <w:color w:val="000000"/>
          <w:sz w:val="22"/>
          <w:u w:val="none"/>
        </w:rPr>
        <w:t>The creditor-side layer interviewers add: your client is the unsecured group at the $1.0 billion valuation. What do you argue? That the debtor's valuation is too low, because a higher enterprise value moves your class into the money, which is why valuation fights are the heart of contested Chapter 11 cases. Candidates who see that connection, valuation isn't academic, it allocates the company, read as ready for the seat.</w:t>
      </w:r>
    </w:p>
    <w:p>
      <w:pPr>
        <w:spacing w:line="480" w:lineRule="auto" w:before="0" w:after="0"/>
      </w:pPr>
      <w:r>
        <w:rPr>
          <w:rFonts w:ascii="Arial" w:hAnsi="Arial" w:cs="Arial" w:eastAsia="Arial"/>
          <w:b w:val="0"/>
          <w:color w:val="000000"/>
          <w:sz w:val="22"/>
          <w:u w:val="none"/>
        </w:rPr>
        <w:t>Build the sensitivity habit alongside the base drill: rerun the same waterfall at enterprise values of $800 million, $1.0 billion, $1.2 billion, and $1.4 billion, and watch the fulcrum migrate. That four-point table is what an actual creditor deliverable looks like, and producing it unprompted on paper in two minutes is the strongest technical signal a candidate can send at this firm. The negotiation insight it unlocks: every class argues for the valuation that puts the fulcrum in its own hands, which is why unsecured groups hire advisors to prove the business is worth more than the debtor claims.</w:t>
      </w:r>
    </w:p>
    <w:p>
      <w:pPr>
        <w:spacing w:line="480" w:lineRule="auto" w:before="0" w:after="0"/>
      </w:pPr>
      <w:r>
        <w:rPr>
          <w:rFonts w:ascii="Arial" w:hAnsi="Arial" w:cs="Arial" w:eastAsia="Arial"/>
          <w:b/>
          <w:color w:val="000000"/>
          <w:sz w:val="36"/>
          <w:u w:val="none"/>
        </w:rPr>
        <w:t>Recruiting: two doors</w:t>
      </w:r>
    </w:p>
    <w:p>
      <w:pPr>
        <w:spacing w:line="480" w:lineRule="auto" w:before="0" w:after="0"/>
      </w:pPr>
      <w:r>
        <w:rPr>
          <w:rFonts w:ascii="Arial" w:hAnsi="Arial" w:cs="Arial" w:eastAsia="Arial"/>
          <w:b w:val="0"/>
          <w:color w:val="000000"/>
          <w:sz w:val="22"/>
          <w:u w:val="none"/>
        </w:rPr>
        <w:t>The front door is the dedicated RX Summer Analyst pipeline, sophomore-fall applications for the current cycle opening fall 2026 for Summer 2028 [VERIFY: dates on hl.com]. Houlihan's class size makes it marginally more open to non-target candidates with demonstrated credit skills than its peers, a pattern consistent across several WSG cycles.</w:t>
      </w:r>
    </w:p>
    <w:p>
      <w:pPr>
        <w:spacing w:line="480" w:lineRule="auto" w:before="0" w:after="0"/>
      </w:pPr>
      <w:r>
        <w:rPr>
          <w:rFonts w:ascii="Arial" w:hAnsi="Arial" w:cs="Arial" w:eastAsia="Arial"/>
          <w:b w:val="0"/>
          <w:color w:val="000000"/>
          <w:sz w:val="22"/>
          <w:u w:val="none"/>
        </w:rPr>
        <w:t>The side door is the lateral machine, and it deserves specifics. The RX world is small: Tier 1 MDs know the strong analysts at Tier 2 and Tier 3 shops, and when Houlihan's team scales with deal flow, the first calls go to proven RX analysts elsewhere, not to M&amp;A analysts at bigger brands. One WSG student, a junior from a non-target who missed Tier 1 in the SA cycle, took a smaller RX seat, built the Marelli waterfall from the live docket on her own time, and landed Houlihan RX through a mid-cycle lateral inside 18 months. Her first-round interviewer asked her to walk exactly that waterfall.</w:t>
      </w:r>
    </w:p>
    <w:p>
      <w:pPr>
        <w:spacing w:line="480" w:lineRule="auto" w:before="0" w:after="0"/>
      </w:pPr>
      <w:r>
        <w:rPr>
          <w:rFonts w:ascii="Arial" w:hAnsi="Arial" w:cs="Arial" w:eastAsia="Arial"/>
          <w:b/>
          <w:color w:val="000000"/>
          <w:sz w:val="36"/>
          <w:u w:val="none"/>
        </w:rPr>
        <w:t>The interview</w:t>
      </w:r>
    </w:p>
    <w:p>
      <w:pPr>
        <w:spacing w:line="480" w:lineRule="auto" w:before="0" w:after="0"/>
      </w:pPr>
      <w:r>
        <w:rPr>
          <w:rFonts w:ascii="Arial" w:hAnsi="Arial" w:cs="Arial" w:eastAsia="Arial"/>
          <w:b/>
          <w:color w:val="000000"/>
          <w:sz w:val="22"/>
          <w:u w:val="none"/>
        </w:rPr>
        <w:t>Houlihan interviews tilt hard toward the recovery toolkit: the waterfall cold, the creditor frame, and a live case argued from the lender side.</w:t>
      </w:r>
      <w:r>
        <w:rPr>
          <w:rFonts w:ascii="Arial" w:hAnsi="Arial" w:cs="Arial" w:eastAsia="Arial"/>
          <w:b w:val="0"/>
          <w:color w:val="000000"/>
          <w:sz w:val="22"/>
          <w:u w:val="none"/>
        </w:rPr>
        <w:t xml:space="preserve"> Expect accounting and valuation at depth first, then that creditor-flavored RX layer: cap table reading, why lender groups organize, what makes an exchange coercive, why a lender might fund new money into a struggling borrower. And a live case with a view, where Marelli from the lender side is the obvious Houlihan pick: read the docket on </w:t>
      </w:r>
      <w:hyperlink r:id="rId9">
        <w:r>
          <w:rPr>
            <w:rFonts w:ascii="Arial" w:hAnsi="Arial" w:cs="Arial" w:eastAsia="Arial"/>
            <w:sz w:val="22"/>
            <w:color w:val="0563C1"/>
            <w:u w:val="single"/>
          </w:rPr>
          <w:t xml:space="preserve">PACER</w:t>
        </w:r>
      </w:hyperlink>
      <w:r>
        <w:rPr>
          <w:rFonts w:ascii="Arial" w:hAnsi="Arial" w:cs="Arial" w:eastAsia="Arial"/>
          <w:b w:val="0"/>
          <w:color w:val="000000"/>
          <w:sz w:val="22"/>
          <w:u w:val="none"/>
        </w:rPr>
        <w:t xml:space="preserve"> and the </w:t>
      </w:r>
      <w:hyperlink r:id="rId10">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coverage, then decide what the ad hoc group won and what it gave up.</w:t>
      </w:r>
    </w:p>
    <w:p>
      <w:pPr>
        <w:spacing w:line="480" w:lineRule="auto" w:before="0" w:after="0"/>
      </w:pPr>
      <w:r>
        <w:rPr>
          <w:rFonts w:ascii="Arial" w:hAnsi="Arial" w:cs="Arial" w:eastAsia="Arial"/>
          <w:b w:val="0"/>
          <w:color w:val="000000"/>
          <w:sz w:val="22"/>
          <w:u w:val="none"/>
        </w:rPr>
        <w:t>Behaviorals carry a firm-specific angle worth prepping: coalition stories. Creditor mandates are exercises in aligning parties whose interests overlap imperfectly, so experiences where you built consensus across factions, or held a position under group pressure, map directly onto the work. Frame two of your five stories that way and let the interviewer draw the line.</w:t>
      </w:r>
    </w:p>
    <w:p>
      <w:pPr>
        <w:spacing w:line="480" w:lineRule="auto" w:before="0" w:after="0"/>
      </w:pPr>
      <w:r>
        <w:rPr>
          <w:rFonts w:ascii="Arial" w:hAnsi="Arial" w:cs="Arial" w:eastAsia="Arial"/>
          <w:b w:val="0"/>
          <w:color w:val="000000"/>
          <w:sz w:val="22"/>
          <w:u w:val="none"/>
        </w:rPr>
        <w:t>One platform fact worth knowing before any Houlihan interview: restructuring is one of the firm's three business lines, alongside corporate finance and financial and valuation advisory. The mix matters to the RX seat in a specific way, the firm's mid-cap M&amp;A machine generates situations where a restructuring turns into a sale process, and the valuation practice deepens the bench behind every contested plan fight. Candidates who understand they're joining a group inside a diversified platform, rather than a boutique that only exists when companies fail, read as having done real homework.</w:t>
      </w:r>
    </w:p>
    <w:p>
      <w:pPr>
        <w:spacing w:line="480" w:lineRule="auto" w:before="0" w:after="0"/>
      </w:pPr>
      <w:r>
        <w:rPr>
          <w:rFonts w:ascii="Arial" w:hAnsi="Arial" w:cs="Arial" w:eastAsia="Arial"/>
          <w:b w:val="0"/>
          <w:color w:val="000000"/>
          <w:sz w:val="22"/>
          <w:u w:val="none"/>
        </w:rPr>
        <w:t>Prep canon: Moyer for recovery fundamentals, Kricheff for instruments, Gatto's The Credit Investor's Handbook for the current market, and waterfall reps from real 2025 cap tables until the drill above runs in under three minutes.</w:t>
      </w:r>
    </w:p>
    <w:p>
      <w:pPr>
        <w:spacing w:line="480" w:lineRule="auto" w:before="0" w:after="0"/>
      </w:pPr>
      <w:r>
        <w:rPr>
          <w:rFonts w:ascii="Arial" w:hAnsi="Arial" w:cs="Arial" w:eastAsia="Arial"/>
          <w:b/>
          <w:color w:val="000000"/>
          <w:sz w:val="36"/>
          <w:u w:val="none"/>
        </w:rPr>
        <w:t>Compensation and exits</w:t>
      </w:r>
    </w:p>
    <w:p>
      <w:pPr>
        <w:spacing w:line="480" w:lineRule="auto" w:before="0" w:after="0"/>
      </w:pPr>
      <w:r>
        <w:rPr>
          <w:rFonts w:ascii="Arial" w:hAnsi="Arial" w:cs="Arial" w:eastAsia="Arial"/>
          <w:b w:val="0"/>
          <w:color w:val="000000"/>
          <w:sz w:val="22"/>
          <w:u w:val="none"/>
        </w:rPr>
        <w:t>Tier 1 RX economics: base around $120,000 to $140,000, first-year all-in past $200,000 [VERIFY: current comp]. Full banking hours, with the creditor rhythm layered on: committee calls, group negotiations, deadline spikes when a situation turns hot.</w:t>
      </w:r>
    </w:p>
    <w:p>
      <w:pPr>
        <w:spacing w:line="480" w:lineRule="auto" w:before="0" w:after="0"/>
      </w:pPr>
      <w:r>
        <w:rPr>
          <w:rFonts w:ascii="Arial" w:hAnsi="Arial" w:cs="Arial" w:eastAsia="Arial"/>
          <w:b w:val="0"/>
          <w:color w:val="000000"/>
          <w:sz w:val="22"/>
          <w:u w:val="none"/>
        </w:rPr>
        <w:t>Exits map onto the client list. Credit funds first and heaviest: Oaktree, Apollo Credit, Blackstone Credit, Ares, HPS, Sixth Street, Silver Point, Centerbridge. Distressed hedge funds second: Elliott, Davidson Kempner, Anchorage, Marathon, Monarch, Whitebox, where creditor-side coalition literacy reads as direct experience. Mega-fund PE third and growing. Credit's year-round hiring means the recruiting runs without the on-cycle panic.</w:t>
      </w:r>
    </w:p>
    <w:p>
      <w:pPr>
        <w:spacing w:line="480" w:lineRule="auto" w:before="0" w:after="0"/>
      </w:pPr>
      <w:r>
        <w:rPr>
          <w:rFonts w:ascii="Arial" w:hAnsi="Arial" w:cs="Arial" w:eastAsia="Arial"/>
          <w:b w:val="0"/>
          <w:color w:val="000000"/>
          <w:sz w:val="22"/>
          <w:u w:val="none"/>
        </w:rPr>
        <w:t>The exit interviews themselves get easier from this seat for a mechanical reason: distressed investors interview candidates by handing them a stressed cap table and asking what the fulcrum is worth. Houlihan analysts have answered that question professionally, for paying clients, dozens of times. The interview is a lighter version of the day job.</w:t>
      </w:r>
    </w:p>
    <w:p>
      <w:pPr>
        <w:spacing w:line="480" w:lineRule="auto" w:before="0" w:after="0"/>
      </w:pPr>
      <w:r>
        <w:rPr>
          <w:rFonts w:ascii="Arial" w:hAnsi="Arial" w:cs="Arial" w:eastAsia="Arial"/>
          <w:b/>
          <w:color w:val="000000"/>
          <w:sz w:val="36"/>
          <w:u w:val="none"/>
        </w:rPr>
        <w:t>The mistakes that cost candidates this seat</w:t>
      </w:r>
    </w:p>
    <w:p>
      <w:pPr>
        <w:spacing w:line="480" w:lineRule="auto" w:before="0" w:after="0"/>
      </w:pPr>
      <w:r>
        <w:rPr>
          <w:rFonts w:ascii="Arial" w:hAnsi="Arial" w:cs="Arial" w:eastAsia="Arial"/>
          <w:b w:val="0"/>
          <w:color w:val="000000"/>
          <w:sz w:val="22"/>
          <w:u w:val="none"/>
        </w:rPr>
        <w:t>Treating Houlihan as the safety Tier 1. The interviews test identical material at identical depth, and interviewers can tell when a candidate allocated their prep hours to PJT. The larger class means more winners, not a lower bar.</w:t>
      </w:r>
    </w:p>
    <w:p>
      <w:pPr>
        <w:spacing w:line="480" w:lineRule="auto" w:before="0" w:after="0"/>
      </w:pPr>
      <w:r>
        <w:rPr>
          <w:rFonts w:ascii="Arial" w:hAnsi="Arial" w:cs="Arial" w:eastAsia="Arial"/>
          <w:b w:val="0"/>
          <w:color w:val="000000"/>
          <w:sz w:val="22"/>
          <w:u w:val="none"/>
        </w:rPr>
        <w:t>Prepping only the debtor perspective. Candidates who imagined advising companies stumble when the scenario arrives from the lender side. Drill the creditor chair hardest here.</w:t>
      </w:r>
    </w:p>
    <w:p>
      <w:pPr>
        <w:spacing w:line="480" w:lineRule="auto" w:before="0" w:after="0"/>
      </w:pPr>
      <w:r>
        <w:rPr>
          <w:rFonts w:ascii="Arial" w:hAnsi="Arial" w:cs="Arial" w:eastAsia="Arial"/>
          <w:b w:val="0"/>
          <w:color w:val="000000"/>
          <w:sz w:val="22"/>
          <w:u w:val="none"/>
        </w:rPr>
        <w:t>Fumbling the comparison question. When asked about other processes, the winning posture is the one in the say-this block below: same tier, different education, genuine preference for the creditor franchise. Transparent prestige-ranking ends candidacies at the firm most attuned to it.</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Houlihan Lokey Restructuring?</w:t>
      </w:r>
    </w:p>
    <w:p>
      <w:pPr>
        <w:spacing w:line="480" w:lineRule="auto" w:before="0" w:after="0"/>
      </w:pPr>
      <w:r>
        <w:rPr>
          <w:rFonts w:ascii="Arial" w:hAnsi="Arial" w:cs="Arial" w:eastAsia="Arial"/>
          <w:b w:val="0"/>
          <w:color w:val="000000"/>
          <w:sz w:val="22"/>
          <w:u w:val="none"/>
        </w:rPr>
        <w:t>Don't say: "Houlihan is a top restructuring firm."</w:t>
      </w:r>
    </w:p>
    <w:p>
      <w:pPr>
        <w:spacing w:line="480" w:lineRule="auto" w:before="0" w:after="0"/>
      </w:pPr>
      <w:r>
        <w:rPr>
          <w:rFonts w:ascii="Arial" w:hAnsi="Arial" w:cs="Arial" w:eastAsia="Arial"/>
          <w:b w:val="0"/>
          <w:color w:val="000000"/>
          <w:sz w:val="22"/>
          <w:u w:val="none"/>
        </w:rPr>
        <w:t>Say: "The creditor franchise is the education I want. On Marelli, Houlihan advised the ad hoc lender group, and recovery-and-coalition work on that side of the table is the skill set I'm building toward."</w:t>
      </w:r>
    </w:p>
    <w:p>
      <w:pPr>
        <w:spacing w:line="480" w:lineRule="auto" w:before="0" w:after="0"/>
      </w:pPr>
      <w:r>
        <w:rPr>
          <w:rFonts w:ascii="Arial" w:hAnsi="Arial" w:cs="Arial" w:eastAsia="Arial"/>
          <w:b/>
          <w:color w:val="000000"/>
          <w:sz w:val="22"/>
          <w:u w:val="none"/>
        </w:rPr>
        <w:t>Aren't PJT and Evercore more prestigious?</w:t>
      </w:r>
    </w:p>
    <w:p>
      <w:pPr>
        <w:spacing w:line="480" w:lineRule="auto" w:before="0" w:after="0"/>
      </w:pPr>
      <w:r>
        <w:rPr>
          <w:rFonts w:ascii="Arial" w:hAnsi="Arial" w:cs="Arial" w:eastAsia="Arial"/>
          <w:b w:val="0"/>
          <w:color w:val="000000"/>
          <w:sz w:val="22"/>
          <w:u w:val="none"/>
        </w:rPr>
        <w:t>Don't say: anything defensive.</w:t>
      </w:r>
    </w:p>
    <w:p>
      <w:pPr>
        <w:spacing w:line="480" w:lineRule="auto" w:before="0" w:after="0"/>
      </w:pPr>
      <w:r>
        <w:rPr>
          <w:rFonts w:ascii="Arial" w:hAnsi="Arial" w:cs="Arial" w:eastAsia="Arial"/>
          <w:b w:val="0"/>
          <w:color w:val="000000"/>
          <w:sz w:val="22"/>
          <w:u w:val="none"/>
        </w:rPr>
        <w:t>Say: "Same tier, same exits. I'd rather run fifty recovery analyses a year on the biggest creditor mandates than optimize for a logo."</w:t>
      </w:r>
    </w:p>
    <w:p>
      <w:pPr>
        <w:spacing w:line="480" w:lineRule="auto" w:before="0" w:after="0"/>
      </w:pPr>
      <w:r>
        <w:rPr>
          <w:rFonts w:ascii="Arial" w:hAnsi="Arial" w:cs="Arial" w:eastAsia="Arial"/>
          <w:b/>
          <w:color w:val="000000"/>
          <w:sz w:val="36"/>
          <w:u w:val="none"/>
        </w:rPr>
        <w:t>The plan</w:t>
      </w:r>
    </w:p>
    <w:p>
      <w:pPr>
        <w:spacing w:line="480" w:lineRule="auto" w:before="0" w:after="0"/>
      </w:pPr>
      <w:r>
        <w:rPr>
          <w:rFonts w:ascii="Arial" w:hAnsi="Arial" w:cs="Arial" w:eastAsia="Arial"/>
          <w:b w:val="0"/>
          <w:color w:val="000000"/>
          <w:sz w:val="22"/>
          <w:u w:val="none"/>
        </w:rPr>
        <w:t>Sophomores: waterfall reps and Moyer chapters 1 through 6 starting this week, two Houlihan RX conversations by fall, application in the first week of the window [VERIFY: posting date]. Anyone past the SA cycle: take the best RX seat available anywhere, build one live-docket waterfall nobody assigned you, and point the lateral machine at Houlihan in 12 to 18 months. The firm's own hiring behavior says that path works, and the league tables say the seats will keep existing.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cer.uscourts.gov" TargetMode="External"/><Relationship Id="rId10"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