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The Ultimate Guide to Lazard Restructuring</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Lazard Restructuring: the legacy debtor-side franchise, its global reach, the interview, comp, exits, and the prep plan.</w:t>
      </w:r>
    </w:p>
    <w:p>
      <w:pPr>
        <w:spacing w:line="480" w:lineRule="auto" w:before="0" w:after="0"/>
      </w:pPr>
      <w:r>
        <w:rPr>
          <w:rFonts w:ascii="Arial" w:hAnsi="Arial" w:cs="Arial" w:eastAsia="Arial"/>
          <w:b w:val="0"/>
          <w:color w:val="000000"/>
          <w:sz w:val="22"/>
          <w:u w:val="none"/>
        </w:rPr>
        <w:t>Before PJT existed and before Houlihan built its creditor empire, distressed boards called Lazard. The group helped define modern debtor-side advisory work, and it never left the top of the market: in 2025, Lazard was debtor-side advisor on the First Brands Chapter 11, opposite Evercore on the creditor side, in one of the year's most watched cases [VERIFY: mandate details].</w:t>
      </w:r>
    </w:p>
    <w:p>
      <w:pPr>
        <w:spacing w:line="480" w:lineRule="auto" w:before="0" w:after="0"/>
      </w:pPr>
      <w:r>
        <w:rPr>
          <w:rFonts w:ascii="Arial" w:hAnsi="Arial" w:cs="Arial" w:eastAsia="Arial"/>
          <w:b/>
          <w:color w:val="000000"/>
          <w:sz w:val="22"/>
          <w:u w:val="none"/>
        </w:rPr>
        <w:t>Lazard Restructuring combines the deepest institutional history in the business with the broadest global footprint of any Tier 1 RX group, and both features show up concretely in what its analysts learn.</w:t>
      </w:r>
      <w:r>
        <w:rPr>
          <w:rFonts w:ascii="Arial" w:hAnsi="Arial" w:cs="Arial" w:eastAsia="Arial"/>
          <w:b w:val="0"/>
          <w:color w:val="000000"/>
          <w:sz w:val="22"/>
          <w:u w:val="none"/>
        </w:rPr>
        <w:t xml:space="preserve"> This guide covers what the legacy actually buys you, the cross-border dimension no peer matches, the interview, and the plan. Industry-wide fundamentals live in our Ultimate Guide to Break Into Restructuring.</w:t>
      </w:r>
    </w:p>
    <w:p>
      <w:pPr>
        <w:spacing w:line="480" w:lineRule="auto" w:before="0" w:after="0"/>
      </w:pPr>
      <w:r>
        <w:rPr>
          <w:rFonts w:ascii="Arial" w:hAnsi="Arial" w:cs="Arial" w:eastAsia="Arial"/>
          <w:b/>
          <w:color w:val="000000"/>
          <w:sz w:val="36"/>
          <w:u w:val="none"/>
        </w:rPr>
        <w:t>What is Lazard Restructuring known for?</w:t>
      </w:r>
    </w:p>
    <w:p>
      <w:pPr>
        <w:spacing w:line="480" w:lineRule="auto" w:before="0" w:after="0"/>
      </w:pPr>
      <w:r>
        <w:rPr>
          <w:rFonts w:ascii="Arial" w:hAnsi="Arial" w:cs="Arial" w:eastAsia="Arial"/>
          <w:b w:val="0"/>
          <w:color w:val="000000"/>
          <w:sz w:val="22"/>
          <w:u w:val="none"/>
        </w:rPr>
        <w:t>Debtor-side advisory across three decades of defining bankruptcies, the deepest European restructuring bench among the Tier 1 firms, and a sovereign advisory practice that has counseled governments through debt crises. The Tier 1 list runs PJT, Evercore, Houlihan Lokey, Lazard, and Moelis; Lazard's membership predates most of the others' existence.</w:t>
      </w:r>
    </w:p>
    <w:p>
      <w:pPr>
        <w:spacing w:line="480" w:lineRule="auto" w:before="0" w:after="0"/>
      </w:pPr>
      <w:r>
        <w:rPr>
          <w:rFonts w:ascii="Arial" w:hAnsi="Arial" w:cs="Arial" w:eastAsia="Arial"/>
          <w:b/>
          <w:color w:val="000000"/>
          <w:sz w:val="36"/>
          <w:u w:val="none"/>
        </w:rPr>
        <w:t>How hard is it to get in?</w:t>
      </w:r>
    </w:p>
    <w:p>
      <w:pPr>
        <w:spacing w:line="480" w:lineRule="auto" w:before="0" w:after="0"/>
      </w:pPr>
      <w:r>
        <w:rPr>
          <w:rFonts w:ascii="Arial" w:hAnsi="Arial" w:cs="Arial" w:eastAsia="Arial"/>
          <w:b w:val="0"/>
          <w:color w:val="000000"/>
          <w:sz w:val="22"/>
          <w:u w:val="none"/>
        </w:rPr>
        <w:t>Tier 1 RX filters run below 1.5 percent implied acceptance, and Lazard's process holds the tier's technical bar in full. What differs is flavor rather than difficulty: candidate debriefs consistently note that international curiosity lands better here than anywhere else in the tier.</w:t>
      </w:r>
    </w:p>
    <w:p>
      <w:pPr>
        <w:spacing w:line="480" w:lineRule="auto" w:before="0" w:after="0"/>
      </w:pPr>
      <w:r>
        <w:rPr>
          <w:rFonts w:ascii="Arial" w:hAnsi="Arial" w:cs="Arial" w:eastAsia="Arial"/>
          <w:b/>
          <w:color w:val="000000"/>
          <w:sz w:val="36"/>
          <w:u w:val="none"/>
        </w:rPr>
        <w:t>What the legacy buys, concretely</w:t>
      </w:r>
    </w:p>
    <w:p>
      <w:pPr>
        <w:spacing w:line="480" w:lineRule="auto" w:before="0" w:after="0"/>
      </w:pPr>
      <w:r>
        <w:rPr>
          <w:rFonts w:ascii="Arial" w:hAnsi="Arial" w:cs="Arial" w:eastAsia="Arial"/>
          <w:b/>
          <w:color w:val="000000"/>
          <w:sz w:val="22"/>
          <w:u w:val="none"/>
        </w:rPr>
        <w:t>Institutional memory is a real asset in restructuring, and Lazard's pattern library spans more cycles than any active franchise.</w:t>
      </w:r>
      <w:r>
        <w:rPr>
          <w:rFonts w:ascii="Arial" w:hAnsi="Arial" w:cs="Arial" w:eastAsia="Arial"/>
          <w:b w:val="0"/>
          <w:color w:val="000000"/>
          <w:sz w:val="22"/>
          <w:u w:val="none"/>
        </w:rPr>
        <w:t xml:space="preserve"> Precedent plan structures. Familiarity with how specific judges run cases. Pattern recognition on creditor-group behavior, which groups litigate, which settle, what moves them. An analyst inherits that library through live deals, and it compresses years of learning into two.</w:t>
      </w:r>
    </w:p>
    <w:p>
      <w:pPr>
        <w:spacing w:line="480" w:lineRule="auto" w:before="0" w:after="0"/>
      </w:pPr>
      <w:r>
        <w:rPr>
          <w:rFonts w:ascii="Arial" w:hAnsi="Arial" w:cs="Arial" w:eastAsia="Arial"/>
          <w:b w:val="0"/>
          <w:color w:val="000000"/>
          <w:sz w:val="22"/>
          <w:u w:val="none"/>
        </w:rPr>
        <w:t>The current mandates keep it honest. First Brands in 2025 was a flagship debtor assignment against elite creditor-side opposition, the kind of case where the accumulated playbook meets a live fight over valuation and recoveries [VERIFY].</w:t>
      </w:r>
    </w:p>
    <w:p>
      <w:pPr>
        <w:spacing w:line="480" w:lineRule="auto" w:before="0" w:after="0"/>
      </w:pPr>
      <w:r>
        <w:rPr>
          <w:rFonts w:ascii="Arial" w:hAnsi="Arial" w:cs="Arial" w:eastAsia="Arial"/>
          <w:b/>
          <w:color w:val="000000"/>
          <w:sz w:val="36"/>
          <w:u w:val="none"/>
        </w:rPr>
        <w:t>The cross-border dimension, taught with real mechanics</w:t>
      </w:r>
    </w:p>
    <w:p>
      <w:pPr>
        <w:spacing w:line="480" w:lineRule="auto" w:before="0" w:after="0"/>
      </w:pPr>
      <w:r>
        <w:rPr>
          <w:rFonts w:ascii="Arial" w:hAnsi="Arial" w:cs="Arial" w:eastAsia="Arial"/>
          <w:b w:val="0"/>
          <w:color w:val="000000"/>
          <w:sz w:val="22"/>
          <w:u w:val="none"/>
        </w:rPr>
        <w:t>Here's what makes Lazard's footprint a different education, in the detail an interviewer would respect.</w:t>
      </w:r>
    </w:p>
    <w:p>
      <w:pPr>
        <w:spacing w:line="480" w:lineRule="auto" w:before="0" w:after="0"/>
      </w:pPr>
      <w:r>
        <w:rPr>
          <w:rFonts w:ascii="Arial" w:hAnsi="Arial" w:cs="Arial" w:eastAsia="Arial"/>
          <w:b w:val="0"/>
          <w:color w:val="000000"/>
          <w:sz w:val="22"/>
          <w:u w:val="none"/>
        </w:rPr>
        <w:t>Restructuring regimes differ by jurisdiction, and the differences change outcomes. A US Chapter 11 plan needs each impaired class to approve by two-thirds in amount and one-half in number of voting holders, with cramdown available over dissenting classes. A UK scheme of arrangement requires 75 percent by value and a majority in number within each class, no US-style cramdown between classes under the traditional scheme, which is partly why the UK added restructuring plans with cross-class cramdown in 2020. France runs sauvegarde and accelerated procedures with court-appointed administrators and different creditor committee mechanics [VERIFY: regime details].</w:t>
      </w:r>
    </w:p>
    <w:p>
      <w:pPr>
        <w:spacing w:line="480" w:lineRule="auto" w:before="0" w:after="0"/>
      </w:pPr>
      <w:r>
        <w:rPr>
          <w:rFonts w:ascii="Arial" w:hAnsi="Arial" w:cs="Arial" w:eastAsia="Arial"/>
          <w:b w:val="0"/>
          <w:color w:val="000000"/>
          <w:sz w:val="22"/>
          <w:u w:val="none"/>
        </w:rPr>
        <w:t>Why a 20-year-old should care: capital structures are global, and a company with US bonds, English-law loans, and a French operating subsidiary restructures in multiple regimes at once. Lazard's European bench means those cross-border situations flow through the firm constantly, and analysts touch process complexity their US-only peers first meet as VPs.</w:t>
      </w:r>
    </w:p>
    <w:p>
      <w:pPr>
        <w:spacing w:line="480" w:lineRule="auto" w:before="0" w:after="0"/>
      </w:pPr>
      <w:r>
        <w:rPr>
          <w:rFonts w:ascii="Arial" w:hAnsi="Arial" w:cs="Arial" w:eastAsia="Arial"/>
          <w:b w:val="0"/>
          <w:color w:val="000000"/>
          <w:sz w:val="22"/>
          <w:u w:val="none"/>
        </w:rPr>
        <w:t>The sovereign practice extends the same range: when countries restructure their debt, Lazard's name recurs on the advisor line. Junior staffing on sovereign work varies, but the capability shapes what the group's seniors know and teach.</w:t>
      </w:r>
    </w:p>
    <w:p>
      <w:pPr>
        <w:spacing w:line="480" w:lineRule="auto" w:before="0" w:after="0"/>
      </w:pPr>
      <w:r>
        <w:rPr>
          <w:rFonts w:ascii="Arial" w:hAnsi="Arial" w:cs="Arial" w:eastAsia="Arial"/>
          <w:b w:val="0"/>
          <w:color w:val="000000"/>
          <w:sz w:val="22"/>
          <w:u w:val="none"/>
        </w:rPr>
        <w:t>A debtor mandate, week to week, runs the analyst through the company's own vital signs: the 13-week cash flow updated as receipts land, the business plan scrubbed before it becomes the valuation's foundation, board materials that translate creditor demands into decisions, and the recovery scenarios that tell management what each negotiating position costs. On a cross-border case, add a second workstream tracking how the English-law debt behaves differently from the New York-law bonds, and calls that start at 7am because Paris is on them.</w:t>
      </w:r>
    </w:p>
    <w:p>
      <w:pPr>
        <w:spacing w:line="480" w:lineRule="auto" w:before="0" w:after="0"/>
      </w:pPr>
      <w:r>
        <w:rPr>
          <w:rFonts w:ascii="Arial" w:hAnsi="Arial" w:cs="Arial" w:eastAsia="Arial"/>
          <w:b w:val="0"/>
          <w:color w:val="000000"/>
          <w:sz w:val="22"/>
          <w:u w:val="none"/>
        </w:rPr>
        <w:t>The 13-week cash flow deserves its own note, because interviewers love it and most candidates have never seen one. It's a receipts-and-disbursements model, not an accrual model: cash in from collections, cash out to payroll, rent, and critical vendors, week by week, with the ending liquidity line answering the only question that matters in distress, when does the money run out. Analysts refresh it as actuals land, and forecast-versus-actual variance becomes its own credibility test in front of lenders. Describing that document accurately in an interview signals more real preparation than another framework recital.</w:t>
      </w:r>
    </w:p>
    <w:p>
      <w:pPr>
        <w:spacing w:line="480" w:lineRule="auto" w:before="0" w:after="0"/>
      </w:pPr>
      <w:r>
        <w:rPr>
          <w:rFonts w:ascii="Arial" w:hAnsi="Arial" w:cs="Arial" w:eastAsia="Arial"/>
          <w:b/>
          <w:color w:val="000000"/>
          <w:sz w:val="36"/>
          <w:u w:val="none"/>
        </w:rPr>
        <w:t>The work</w:t>
      </w:r>
    </w:p>
    <w:p>
      <w:pPr>
        <w:spacing w:line="480" w:lineRule="auto" w:before="0" w:after="0"/>
      </w:pPr>
      <w:r>
        <w:rPr>
          <w:rFonts w:ascii="Arial" w:hAnsi="Arial" w:cs="Arial" w:eastAsia="Arial"/>
          <w:b w:val="0"/>
          <w:color w:val="000000"/>
          <w:sz w:val="22"/>
          <w:u w:val="none"/>
        </w:rPr>
        <w:t>The Tier 1 toolkit, run from the debtor chair. Recap models for out-of-court LMEs, the post-Serta wave of uptiers and exchanges that dominates current flow. The 13-week cash flow that tells a distressed board how much runway it has. Post-reorg valuation supporting the Plan of Reorganization, defended against creditor classes attacking it, because in a contested case the valuation allocates the company.</w:t>
      </w:r>
    </w:p>
    <w:p>
      <w:pPr>
        <w:spacing w:line="480" w:lineRule="auto" w:before="0" w:after="0"/>
      </w:pPr>
      <w:r>
        <w:rPr>
          <w:rFonts w:ascii="Arial" w:hAnsi="Arial" w:cs="Arial" w:eastAsia="Arial"/>
          <w:b w:val="0"/>
          <w:color w:val="000000"/>
          <w:sz w:val="22"/>
          <w:u w:val="none"/>
        </w:rPr>
        <w:t>And waterfalls under everything: given $1.2 billion of senior secured, $400 million unsecured, and a $1.0 billion enterprise value, value breaks inside the secured class at roughly 83 cents, unsecured recovers nothing, and the secured lenders hold the fulcrum. Move enterprise value to $1.4 billion and the fulcrum drops to the unsecured class at 50 cents. Lazard analysts run that arithmetic across scenarios daily, then watch it argued in court.</w:t>
      </w:r>
    </w:p>
    <w:p>
      <w:pPr>
        <w:spacing w:line="480" w:lineRule="auto" w:before="0" w:after="0"/>
      </w:pPr>
      <w:r>
        <w:rPr>
          <w:rFonts w:ascii="Arial" w:hAnsi="Arial" w:cs="Arial" w:eastAsia="Arial"/>
          <w:b/>
          <w:color w:val="000000"/>
          <w:sz w:val="36"/>
          <w:u w:val="none"/>
        </w:rPr>
        <w:t>Recruiting and the interview</w:t>
      </w:r>
    </w:p>
    <w:p>
      <w:pPr>
        <w:spacing w:line="480" w:lineRule="auto" w:before="0" w:after="0"/>
      </w:pPr>
      <w:r>
        <w:rPr>
          <w:rFonts w:ascii="Arial" w:hAnsi="Arial" w:cs="Arial" w:eastAsia="Arial"/>
          <w:b w:val="0"/>
          <w:color w:val="000000"/>
          <w:sz w:val="22"/>
          <w:u w:val="none"/>
        </w:rPr>
        <w:t>Lazard runs a dedicated RX pipeline on the sophomore-fall calendar; the current cycle opens fall 2026 for Summer 2028 seats [VERIFY: dates on lazard.com]. The standard Tier 1 campaign applies: two or three networking relationships with current RX juniors, visible credit evidence on the resume, application in the first week.</w:t>
      </w:r>
    </w:p>
    <w:p>
      <w:pPr>
        <w:spacing w:line="480" w:lineRule="auto" w:before="0" w:after="0"/>
      </w:pPr>
      <w:r>
        <w:rPr>
          <w:rFonts w:ascii="Arial" w:hAnsi="Arial" w:cs="Arial" w:eastAsia="Arial"/>
          <w:b w:val="0"/>
          <w:color w:val="000000"/>
          <w:sz w:val="22"/>
          <w:u w:val="none"/>
        </w:rPr>
        <w:t xml:space="preserve">The interview runs the tier's three layers. Accounting and valuation at depth. RX technicals: the waterfall above, cap table reading, instruments through PIK toggles, Chapter 11 process points including 363 sales and exclusivity. Then context with a view, where First Brands is the natural Lazard case: read the docket on </w:t>
      </w:r>
      <w:hyperlink r:id="rId9">
        <w:r>
          <w:rPr>
            <w:rFonts w:ascii="Arial" w:hAnsi="Arial" w:cs="Arial" w:eastAsia="Arial"/>
            <w:sz w:val="22"/>
            <w:color w:val="0563C1"/>
            <w:u w:val="single"/>
          </w:rPr>
          <w:t xml:space="preserve">PACER</w:t>
        </w:r>
      </w:hyperlink>
      <w:r>
        <w:rPr>
          <w:rFonts w:ascii="Arial" w:hAnsi="Arial" w:cs="Arial" w:eastAsia="Arial"/>
          <w:b w:val="0"/>
          <w:color w:val="000000"/>
          <w:sz w:val="22"/>
          <w:u w:val="none"/>
        </w:rPr>
        <w:t xml:space="preserve"> and the </w:t>
      </w:r>
      <w:hyperlink r:id="rId10">
        <w:r>
          <w:rPr>
            <w:rFonts w:ascii="Arial" w:hAnsi="Arial" w:cs="Arial" w:eastAsia="Arial"/>
            <w:sz w:val="22"/>
            <w:color w:val="0563C1"/>
            <w:u w:val="single"/>
          </w:rPr>
          <w:t xml:space="preserve">Pari Passu</w:t>
        </w:r>
      </w:hyperlink>
      <w:r>
        <w:rPr>
          <w:rFonts w:ascii="Arial" w:hAnsi="Arial" w:cs="Arial" w:eastAsia="Arial"/>
          <w:b w:val="0"/>
          <w:color w:val="000000"/>
          <w:sz w:val="22"/>
          <w:u w:val="none"/>
        </w:rPr>
        <w:t xml:space="preserve"> writeups, then form a position on whether the debtor's advisors maximized value, and what you'd have done differently.</w:t>
      </w:r>
    </w:p>
    <w:p>
      <w:pPr>
        <w:spacing w:line="480" w:lineRule="auto" w:before="0" w:after="0"/>
      </w:pPr>
      <w:r>
        <w:rPr>
          <w:rFonts w:ascii="Arial" w:hAnsi="Arial" w:cs="Arial" w:eastAsia="Arial"/>
          <w:b/>
          <w:color w:val="000000"/>
          <w:sz w:val="22"/>
          <w:u w:val="none"/>
        </w:rPr>
        <w:t>One evening of cross-border prep differentiates more at Lazard than ten additional hours of US technical polish.</w:t>
      </w:r>
      <w:r>
        <w:rPr>
          <w:rFonts w:ascii="Arial" w:hAnsi="Arial" w:cs="Arial" w:eastAsia="Arial"/>
          <w:b w:val="0"/>
          <w:color w:val="000000"/>
          <w:sz w:val="22"/>
          <w:u w:val="none"/>
        </w:rPr>
        <w:t xml:space="preserve"> Pick a European restructuring from the financial press, note which regime governed, how its approval thresholds differed from Chapter 11's, and whether the outcome would have changed under US rules. Delivered naturally in a final round, that single comparative observation marks you as the candidate who understood what distinguishes this franchise.</w:t>
      </w:r>
    </w:p>
    <w:p>
      <w:pPr>
        <w:spacing w:line="480" w:lineRule="auto" w:before="0" w:after="0"/>
      </w:pPr>
      <w:r>
        <w:rPr>
          <w:rFonts w:ascii="Arial" w:hAnsi="Arial" w:cs="Arial" w:eastAsia="Arial"/>
          <w:b w:val="0"/>
          <w:color w:val="000000"/>
          <w:sz w:val="22"/>
          <w:u w:val="none"/>
        </w:rPr>
        <w:t>Prep canon, same as the tier: Moyer chapters 1 through 6, Kricheff for instruments, Gatto for the current market, five waterfall reps from real 2025 cap tables with First Brands on the list.</w:t>
      </w:r>
    </w:p>
    <w:p>
      <w:pPr>
        <w:spacing w:line="480" w:lineRule="auto" w:before="0" w:after="0"/>
      </w:pPr>
      <w:r>
        <w:rPr>
          <w:rFonts w:ascii="Arial" w:hAnsi="Arial" w:cs="Arial" w:eastAsia="Arial"/>
          <w:b/>
          <w:color w:val="000000"/>
          <w:sz w:val="36"/>
          <w:u w:val="none"/>
        </w:rPr>
        <w:t>Compensation and exits</w:t>
      </w:r>
    </w:p>
    <w:p>
      <w:pPr>
        <w:spacing w:line="480" w:lineRule="auto" w:before="0" w:after="0"/>
      </w:pPr>
      <w:r>
        <w:rPr>
          <w:rFonts w:ascii="Arial" w:hAnsi="Arial" w:cs="Arial" w:eastAsia="Arial"/>
          <w:b w:val="0"/>
          <w:color w:val="000000"/>
          <w:sz w:val="22"/>
          <w:u w:val="none"/>
        </w:rPr>
        <w:t>Tier 1 RX economics: base around $120,000 to $140,000, first-year all-in past $200,000 [VERIFY: current comp]. Full banking intensity with court-driven spikes, and cross-border mandates add time-zone sprawl that analysts describe as equal parts exhausting and formative.</w:t>
      </w:r>
    </w:p>
    <w:p>
      <w:pPr>
        <w:spacing w:line="480" w:lineRule="auto" w:before="0" w:after="0"/>
      </w:pPr>
      <w:r>
        <w:rPr>
          <w:rFonts w:ascii="Arial" w:hAnsi="Arial" w:cs="Arial" w:eastAsia="Arial"/>
          <w:b w:val="0"/>
          <w:color w:val="000000"/>
          <w:sz w:val="22"/>
          <w:u w:val="none"/>
        </w:rPr>
        <w:t>Exits run the standard map: credit funds (Oaktree, Apollo Credit, Blackstone Credit, Ares, HPS, Sixth Street, Silver Point, Centerbridge), distressed hedge funds (Elliott, Davidson Kempner, Anchorage, Marathon), and increasingly mega-fund PE. The Lazard wrinkle is geographic: European credit funds and global special-situations teams read the firm's RX experience as directly relevant, which widens the map for anyone whose ambitions cross an ocean. Credit's year-round hiring keeps the recruiting calendar humane.</w:t>
      </w:r>
    </w:p>
    <w:p>
      <w:pPr>
        <w:spacing w:line="480" w:lineRule="auto" w:before="0" w:after="0"/>
      </w:pPr>
      <w:r>
        <w:rPr>
          <w:rFonts w:ascii="Arial" w:hAnsi="Arial" w:cs="Arial" w:eastAsia="Arial"/>
          <w:b/>
          <w:color w:val="000000"/>
          <w:sz w:val="36"/>
          <w:u w:val="none"/>
        </w:rPr>
        <w:t>The mistakes that cost candidates this seat</w:t>
      </w:r>
    </w:p>
    <w:p>
      <w:pPr>
        <w:spacing w:line="480" w:lineRule="auto" w:before="0" w:after="0"/>
      </w:pPr>
      <w:r>
        <w:rPr>
          <w:rFonts w:ascii="Arial" w:hAnsi="Arial" w:cs="Arial" w:eastAsia="Arial"/>
          <w:b w:val="0"/>
          <w:color w:val="000000"/>
          <w:sz w:val="22"/>
          <w:u w:val="none"/>
        </w:rPr>
        <w:t>Leaning on history instead of the present. A why-Lazard answer built entirely on legacy invites the follow-up "so what have we done lately," and candidates who can't name First Brands reveal the homework stopped a decade back. Lead with the live mandate; let the history season it.</w:t>
      </w:r>
    </w:p>
    <w:p>
      <w:pPr>
        <w:spacing w:line="480" w:lineRule="auto" w:before="0" w:after="0"/>
      </w:pPr>
      <w:r>
        <w:rPr>
          <w:rFonts w:ascii="Arial" w:hAnsi="Arial" w:cs="Arial" w:eastAsia="Arial"/>
          <w:b w:val="0"/>
          <w:color w:val="000000"/>
          <w:sz w:val="22"/>
          <w:u w:val="none"/>
        </w:rPr>
        <w:t>Ignoring the international dimension entirely. Nobody expects a sophomore to know French insolvency law. Someone who has never considered that restructuring exists outside Chapter 11 misses the firm's distinguishing trait, and the one-evening drill above closes that gap cheaply.</w:t>
      </w:r>
    </w:p>
    <w:p>
      <w:pPr>
        <w:spacing w:line="480" w:lineRule="auto" w:before="0" w:after="0"/>
      </w:pPr>
      <w:r>
        <w:rPr>
          <w:rFonts w:ascii="Arial" w:hAnsi="Arial" w:cs="Arial" w:eastAsia="Arial"/>
          <w:b w:val="0"/>
          <w:color w:val="000000"/>
          <w:sz w:val="22"/>
          <w:u w:val="none"/>
        </w:rPr>
        <w:t>Over-rotating on M&amp;A polish. Lazard's merger franchise tempts candidates into generalist prep. The RX interviews are credit interviews: waterfalls, instruments, process. Prep for the group, not the firm.</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Why Lazard Restructuring?</w:t>
      </w:r>
    </w:p>
    <w:p>
      <w:pPr>
        <w:spacing w:line="480" w:lineRule="auto" w:before="0" w:after="0"/>
      </w:pPr>
      <w:r>
        <w:rPr>
          <w:rFonts w:ascii="Arial" w:hAnsi="Arial" w:cs="Arial" w:eastAsia="Arial"/>
          <w:b w:val="0"/>
          <w:color w:val="000000"/>
          <w:sz w:val="22"/>
          <w:u w:val="none"/>
        </w:rPr>
        <w:t>Don't say: "Lazard has an incredible history in restructuring."</w:t>
      </w:r>
    </w:p>
    <w:p>
      <w:pPr>
        <w:spacing w:line="480" w:lineRule="auto" w:before="0" w:after="0"/>
      </w:pPr>
      <w:r>
        <w:rPr>
          <w:rFonts w:ascii="Arial" w:hAnsi="Arial" w:cs="Arial" w:eastAsia="Arial"/>
          <w:b w:val="0"/>
          <w:color w:val="000000"/>
          <w:sz w:val="22"/>
          <w:u w:val="none"/>
        </w:rPr>
        <w:t>Say: "The group ran the debtor side on First Brands, and pairing that flagship US work with the deepest European bench in RX is the range I want. I'd rather learn restructuring as a global discipline than a single-jurisdiction one."</w:t>
      </w:r>
    </w:p>
    <w:p>
      <w:pPr>
        <w:spacing w:line="480" w:lineRule="auto" w:before="0" w:after="0"/>
      </w:pPr>
      <w:r>
        <w:rPr>
          <w:rFonts w:ascii="Arial" w:hAnsi="Arial" w:cs="Arial" w:eastAsia="Arial"/>
          <w:b/>
          <w:color w:val="000000"/>
          <w:sz w:val="22"/>
          <w:u w:val="none"/>
        </w:rPr>
        <w:t>Tell me about a restructuring you've followed.</w:t>
      </w:r>
    </w:p>
    <w:p>
      <w:pPr>
        <w:spacing w:line="480" w:lineRule="auto" w:before="0" w:after="0"/>
      </w:pPr>
      <w:r>
        <w:rPr>
          <w:rFonts w:ascii="Arial" w:hAnsi="Arial" w:cs="Arial" w:eastAsia="Arial"/>
          <w:b w:val="0"/>
          <w:color w:val="000000"/>
          <w:sz w:val="22"/>
          <w:u w:val="none"/>
        </w:rPr>
        <w:t>Don't say: a summary that could have come from a headline.</w:t>
      </w:r>
    </w:p>
    <w:p>
      <w:pPr>
        <w:spacing w:line="480" w:lineRule="auto" w:before="0" w:after="0"/>
      </w:pPr>
      <w:r>
        <w:rPr>
          <w:rFonts w:ascii="Arial" w:hAnsi="Arial" w:cs="Arial" w:eastAsia="Arial"/>
          <w:b w:val="0"/>
          <w:color w:val="000000"/>
          <w:sz w:val="22"/>
          <w:u w:val="none"/>
        </w:rPr>
        <w:t>Say: the capital structure with numbers, the trigger, the advisors on each side, and your view on the outcome, in ninety seconds.</w:t>
      </w:r>
    </w:p>
    <w:p>
      <w:pPr>
        <w:spacing w:line="480" w:lineRule="auto" w:before="0" w:after="0"/>
      </w:pPr>
      <w:r>
        <w:rPr>
          <w:rFonts w:ascii="Arial" w:hAnsi="Arial" w:cs="Arial" w:eastAsia="Arial"/>
          <w:b/>
          <w:color w:val="000000"/>
          <w:sz w:val="22"/>
          <w:u w:val="none"/>
        </w:rPr>
        <w:t>Would you take a cross-border staffing if offered?</w:t>
      </w:r>
    </w:p>
    <w:p>
      <w:pPr>
        <w:spacing w:line="480" w:lineRule="auto" w:before="0" w:after="0"/>
      </w:pPr>
      <w:r>
        <w:rPr>
          <w:rFonts w:ascii="Arial" w:hAnsi="Arial" w:cs="Arial" w:eastAsia="Arial"/>
          <w:b w:val="0"/>
          <w:color w:val="000000"/>
          <w:sz w:val="22"/>
          <w:u w:val="none"/>
        </w:rPr>
        <w:t>Don't say: "I'd be open to it."</w:t>
      </w:r>
    </w:p>
    <w:p>
      <w:pPr>
        <w:spacing w:line="480" w:lineRule="auto" w:before="0" w:after="0"/>
      </w:pPr>
      <w:r>
        <w:rPr>
          <w:rFonts w:ascii="Arial" w:hAnsi="Arial" w:cs="Arial" w:eastAsia="Arial"/>
          <w:b w:val="0"/>
          <w:color w:val="000000"/>
          <w:sz w:val="22"/>
          <w:u w:val="none"/>
        </w:rPr>
        <w:t>Say: "Yes, specifically. A US filing with an English scheme running parallel is complexity I can only learn here, and I'd rather meet it as an analyst than discover it as a VP.</w:t>
      </w:r>
    </w:p>
    <w:p>
      <w:pPr>
        <w:spacing w:line="480" w:lineRule="auto" w:before="0" w:after="0"/>
      </w:pPr>
      <w:r>
        <w:rPr>
          <w:rFonts w:ascii="Arial" w:hAnsi="Arial" w:cs="Arial" w:eastAsia="Arial"/>
          <w:b/>
          <w:color w:val="000000"/>
          <w:sz w:val="36"/>
          <w:u w:val="none"/>
        </w:rPr>
        <w:t>The plan</w:t>
      </w:r>
    </w:p>
    <w:p>
      <w:pPr>
        <w:spacing w:line="480" w:lineRule="auto" w:before="0" w:after="0"/>
      </w:pPr>
      <w:r>
        <w:rPr>
          <w:rFonts w:ascii="Arial" w:hAnsi="Arial" w:cs="Arial" w:eastAsia="Arial"/>
          <w:b w:val="0"/>
          <w:color w:val="000000"/>
          <w:sz w:val="22"/>
          <w:u w:val="none"/>
        </w:rPr>
        <w:t>This week: order Moyer, subscribe to Pari Passu, pull the First Brands docket. This month: two Lazard RX conversations through your alumni database, a one-page written view on the case, and the one-evening cross-border drill. Before the window opens: five waterfall reps, the two-sentence structural why-RX answer, and a resume whose credit evidence reads in six seconds. Apply in week one [VERIFY: posting date].</w:t>
      </w:r>
    </w:p>
    <w:p>
      <w:pPr>
        <w:spacing w:line="480" w:lineRule="auto" w:before="0" w:after="0"/>
      </w:pPr>
      <w:r>
        <w:rPr>
          <w:rFonts w:ascii="Arial" w:hAnsi="Arial" w:cs="Arial" w:eastAsia="Arial"/>
          <w:b w:val="0"/>
          <w:color w:val="000000"/>
          <w:sz w:val="22"/>
          <w:u w:val="none"/>
        </w:rPr>
        <w:t>If the Tier 1 sweep misses, the lateral market remains the second road: 12 to 18 months of demonstrated waterfall fluency at any RX shop reopens every door in the tier, this one included.</w:t>
      </w:r>
    </w:p>
    <w:p>
      <w:pPr>
        <w:spacing w:line="480" w:lineRule="auto" w:before="0" w:after="0"/>
      </w:pPr>
      <w:r>
        <w:rPr>
          <w:rFonts w:ascii="Arial" w:hAnsi="Arial" w:cs="Arial" w:eastAsia="Arial"/>
          <w:b w:val="0"/>
          <w:color w:val="000000"/>
          <w:sz w:val="22"/>
          <w:u w:val="none"/>
        </w:rPr>
        <w:t>The group rewards the long view either way. Restructuring is a small industry with a long memory, which is precisely what Lazard's own history demonstrates, and the analysts who enter it well prepared tend to be the seniors running it two decades later.</w:t>
      </w:r>
    </w:p>
    <w:p>
      <w:pPr>
        <w:spacing w:line="480" w:lineRule="auto" w:before="0" w:after="0"/>
      </w:pPr>
      <w:r>
        <w:rPr>
          <w:rFonts w:ascii="Arial" w:hAnsi="Arial" w:cs="Arial" w:eastAsia="Arial"/>
          <w:b/>
          <w:color w:val="000000"/>
          <w:sz w:val="36"/>
          <w:u w:val="none"/>
        </w:rPr>
        <w:t>Where Lazard sits inside Tier 1</w:t>
      </w:r>
    </w:p>
    <w:p>
      <w:pPr>
        <w:spacing w:line="480" w:lineRule="auto" w:before="0" w:after="0"/>
      </w:pPr>
      <w:r>
        <w:rPr>
          <w:rFonts w:ascii="Arial" w:hAnsi="Arial" w:cs="Arial" w:eastAsia="Arial"/>
          <w:b w:val="0"/>
          <w:color w:val="000000"/>
          <w:sz w:val="22"/>
          <w:u w:val="none"/>
        </w:rPr>
        <w:t>Read the five franchises as specializations rather than a ranking. PJT anchors debtor-side prestige, Houlihan anchors creditor-side volume, Evercore runs both sides beside its M&amp;A machine, Moelis rotates generalists through RX, and Lazard holds the combination none of the others match: flagship US debtor work, the deepest European bench, and the sovereign practice. Exits overlap across all five, so the real question is which education you want. A candidate whose ambitions include London, Paris, or sovereign work has a first-choice argument for Lazard that no forum ranking captures, and interviewers at the group respond to exactly that argument when it's genuine.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cer.uscourts.gov" TargetMode="External"/><Relationship Id="rId10" Type="http://schemas.openxmlformats.org/officeDocument/2006/relationships/hyperlink" Target="https://restructuringnewsle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