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480" w:lineRule="auto" w:before="0" w:after="0"/>
      </w:pPr>
      <w:r>
        <w:rPr>
          <w:rFonts w:ascii="Arial" w:hAnsi="Arial"/>
          <w:b/>
          <w:color w:val="000000"/>
          <w:sz w:val="48"/>
          <w:u w:val="none"/>
        </w:rPr>
        <w:t>Top 30 Consulting Interview Questions</w:t>
      </w: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Meta description:</w:t>
      </w:r>
      <w:r>
        <w:rPr>
          <w:rFonts w:ascii="Arial" w:hAnsi="Arial"/>
          <w:b w:val="0"/>
          <w:color w:val="000000"/>
          <w:sz w:val="22"/>
          <w:u w:val="none"/>
        </w:rPr>
        <w:t xml:space="preserve"> WSG founder Stephen Turban ranks the 30 consulting interview questions that decide MBB offers, from fit and PEI to case openers and market sizing.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A consulting candidate who reaches a final round answers 40 to 60 interview questions across four to six interviews, and nearly all of them come from the list below.</w:t>
      </w:r>
      <w:r>
        <w:rPr>
          <w:rFonts w:ascii="Arial" w:hAnsi="Arial"/>
          <w:b w:val="0"/>
          <w:color w:val="000000"/>
          <w:sz w:val="22"/>
          <w:u w:val="none"/>
        </w:rPr>
        <w:t xml:space="preserve"> Fit questions open every session. Behavioral stories fill the McKinsey PEI. Then the case starts, and the case is where most offers are won.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 w:val="0"/>
          <w:color w:val="000000"/>
          <w:sz w:val="22"/>
          <w:u w:val="none"/>
        </w:rPr>
        <w:t>I went through McKinsey's on-cycle recruiting myself before founding WSG, and I now watch students prep for MBB, tier 2, and Big 4 strategy interviews every cycle. These are the 30 questions worth drilling, grouped by what the interviewer is testing.</w:t>
      </w:r>
    </w:p>
    <w:p>
      <w:pPr>
        <w:spacing w:line="480" w:lineRule="auto" w:before="0" w:after="0"/>
      </w:pPr>
    </w:p>
    <w:p>
      <w:pPr>
        <w:pStyle w:val="Heading2"/>
        <w:spacing w:line="480" w:lineRule="auto" w:before="0" w:after="0"/>
      </w:pPr>
      <w:r>
        <w:rPr>
          <w:rFonts w:ascii="Arial" w:hAnsi="Arial"/>
          <w:b/>
          <w:color w:val="000000"/>
          <w:sz w:val="36"/>
          <w:u w:val="none"/>
        </w:rPr>
        <w:t>What questions are asked in a consulting interview?</w:t>
      </w:r>
    </w:p>
    <w:p>
      <w:pPr>
        <w:spacing w:line="480" w:lineRule="auto" w:before="0" w:after="0"/>
      </w:pPr>
      <w:r>
        <w:rPr>
          <w:rFonts w:ascii="Arial" w:hAnsi="Arial"/>
          <w:b w:val="0"/>
          <w:color w:val="000000"/>
          <w:sz w:val="22"/>
          <w:u w:val="none"/>
        </w:rPr>
        <w:t xml:space="preserve">Four types: fit questions (why consulting, why this firm), behavioral stories (led a team, resolved a conflict), case questions (a business problem you structure and solve live), and quantitative estimates (market sizing, chart reads). McKinsey, </w:t>
      </w:r>
      <w:hyperlink r:id="rId9">
        <w:r>
          <w:rPr>
            <w:rFonts w:ascii="Arial" w:hAnsi="Arial"/>
            <w:sz w:val="22"/>
            <w:color w:val="0563C1"/>
            <w:u w:val="single"/>
          </w:rPr>
          <w:t xml:space="preserve">BCG</w:t>
        </w:r>
      </w:hyperlink>
      <w:r>
        <w:rPr>
          <w:rFonts w:ascii="Arial" w:hAnsi="Arial"/>
          <w:b w:val="0"/>
          <w:color w:val="000000"/>
          <w:sz w:val="22"/>
          <w:u w:val="none"/>
        </w:rPr>
        <w:t xml:space="preserve">, and </w:t>
      </w:r>
      <w:hyperlink r:id="rId10">
        <w:r>
          <w:rPr>
            <w:rFonts w:ascii="Arial" w:hAnsi="Arial"/>
            <w:sz w:val="22"/>
            <w:color w:val="0563C1"/>
            <w:u w:val="single"/>
          </w:rPr>
          <w:t xml:space="preserve">Bain</w:t>
        </w:r>
      </w:hyperlink>
      <w:r>
        <w:rPr>
          <w:rFonts w:ascii="Arial" w:hAnsi="Arial"/>
          <w:b w:val="0"/>
          <w:color w:val="000000"/>
          <w:sz w:val="22"/>
          <w:u w:val="none"/>
        </w:rPr>
        <w:t xml:space="preserve"> all run some mix of these in every round.</w:t>
      </w:r>
    </w:p>
    <w:p>
      <w:pPr>
        <w:spacing w:line="480" w:lineRule="auto" w:before="0" w:after="0"/>
      </w:pPr>
    </w:p>
    <w:p>
      <w:pPr>
        <w:pStyle w:val="Heading2"/>
        <w:spacing w:line="480" w:lineRule="auto" w:before="0" w:after="0"/>
      </w:pPr>
      <w:r>
        <w:rPr>
          <w:rFonts w:ascii="Arial" w:hAnsi="Arial"/>
          <w:b/>
          <w:color w:val="000000"/>
          <w:sz w:val="36"/>
          <w:u w:val="none"/>
        </w:rPr>
        <w:t>How do you answer consulting interview questions?</w:t>
      </w:r>
    </w:p>
    <w:p>
      <w:pPr>
        <w:spacing w:line="480" w:lineRule="auto" w:before="0" w:after="0"/>
      </w:pPr>
      <w:r>
        <w:rPr>
          <w:rFonts w:ascii="Arial" w:hAnsi="Arial"/>
          <w:b w:val="0"/>
          <w:color w:val="000000"/>
          <w:sz w:val="22"/>
          <w:u w:val="none"/>
        </w:rPr>
        <w:t>Lead with the answer, then support it. For fit and behavioral questions, that means one specific story per question, told in under 90 seconds. For cases, it means stating a structure before you touch a single number. Interviewers grade how you think, so narrate the thinking.</w:t>
      </w:r>
    </w:p>
    <w:p>
      <w:pPr>
        <w:spacing w:line="480" w:lineRule="auto" w:before="0" w:after="0"/>
      </w:pPr>
    </w:p>
    <w:p>
      <w:pPr>
        <w:pStyle w:val="Heading2"/>
        <w:spacing w:line="480" w:lineRule="auto" w:before="0" w:after="0"/>
      </w:pPr>
      <w:r>
        <w:rPr>
          <w:rFonts w:ascii="Arial" w:hAnsi="Arial"/>
          <w:b/>
          <w:color w:val="000000"/>
          <w:sz w:val="36"/>
          <w:u w:val="none"/>
        </w:rPr>
        <w:t>Fit and motivation questions</w:t>
      </w:r>
    </w:p>
    <w:p>
      <w:pPr>
        <w:spacing w:line="480" w:lineRule="auto" w:before="0" w:after="0"/>
      </w:pPr>
      <w:r>
        <w:rPr>
          <w:rFonts w:ascii="Arial" w:hAnsi="Arial"/>
          <w:b w:val="0"/>
          <w:color w:val="000000"/>
          <w:sz w:val="22"/>
          <w:u w:val="none"/>
        </w:rPr>
        <w:t>Every interview opens here. Weak answers in the first ten minutes put your case performance under a harsher lens.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1. Walk me through your resume.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Interviewers want a story with a through-line, told in about 60 seconds.</w:t>
      </w:r>
      <w:r>
        <w:rPr>
          <w:rFonts w:ascii="Arial" w:hAnsi="Arial"/>
          <w:b w:val="0"/>
          <w:color w:val="000000"/>
          <w:sz w:val="22"/>
          <w:u w:val="none"/>
        </w:rPr>
        <w:t xml:space="preserve"> Pick the two or three moments that explain why consulting is the logical next step. Skip everything else. Your interviewer already has the document in front of them.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2. Why consulting?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Vague enthusiasm for problem solving fails this question every time.</w:t>
      </w:r>
      <w:r>
        <w:rPr>
          <w:rFonts w:ascii="Arial" w:hAnsi="Arial"/>
          <w:b w:val="0"/>
          <w:color w:val="000000"/>
          <w:sz w:val="22"/>
          <w:u w:val="none"/>
        </w:rPr>
        <w:t xml:space="preserve"> Name the exposure moment: a class project, a club engagement, a conversation that showed you what the work is. Then name the part of the work itself that pulled you in.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3. Why McKinsey? (Or BCG, or Bain.)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Winning answers name a person, a practice, or an engagement at that specific firm.</w:t>
      </w:r>
      <w:r>
        <w:rPr>
          <w:rFonts w:ascii="Arial" w:hAnsi="Arial"/>
          <w:b w:val="0"/>
          <w:color w:val="000000"/>
          <w:sz w:val="22"/>
          <w:u w:val="none"/>
        </w:rPr>
        <w:t xml:space="preserve"> "Prestige and smart people" describes all three firms plus twenty others. One coffee chat with a named consultant beats any ranking you can cite.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4. Why this office?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Office choice is a real screen, and interviewers can tell when the answer is invented.</w:t>
      </w:r>
      <w:r>
        <w:rPr>
          <w:rFonts w:ascii="Arial" w:hAnsi="Arial"/>
          <w:b w:val="0"/>
          <w:color w:val="000000"/>
          <w:sz w:val="22"/>
          <w:u w:val="none"/>
        </w:rPr>
        <w:t xml:space="preserve"> Tie the city to something concrete: family, a regional industry you care about, a school network. BCG asks for your top two office preferences right on the application.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5. Tell me something that isn't on your resume.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The question tests whether a person exists behind the credentials.</w:t>
      </w:r>
      <w:r>
        <w:rPr>
          <w:rFonts w:ascii="Arial" w:hAnsi="Arial"/>
          <w:b w:val="0"/>
          <w:color w:val="000000"/>
          <w:sz w:val="22"/>
          <w:u w:val="none"/>
        </w:rPr>
        <w:t xml:space="preserve"> Pick something with texture, a hobby with real reps behind it or an odd job. Consultants staff three-month teams and want teammates with some dimension.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6. Where do you see yourself in five years?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Firms know most analysts leave, so honest ambition reads better than fake lifer talk.</w:t>
      </w:r>
      <w:r>
        <w:rPr>
          <w:rFonts w:ascii="Arial" w:hAnsi="Arial"/>
          <w:b w:val="0"/>
          <w:color w:val="000000"/>
          <w:sz w:val="22"/>
          <w:u w:val="none"/>
        </w:rPr>
        <w:t xml:space="preserve"> A good answer names a skill arc, consulting first, then depth in an industry or function. Nobody expects a partner-track pledge from a 21-year-old.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7. What's your greatest weakness?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Name a real weakness with a real correction, then stop talking.</w:t>
      </w:r>
      <w:r>
        <w:rPr>
          <w:rFonts w:ascii="Arial" w:hAnsi="Arial"/>
          <w:b w:val="0"/>
          <w:color w:val="000000"/>
          <w:sz w:val="22"/>
          <w:u w:val="none"/>
        </w:rPr>
        <w:t xml:space="preserve"> Strengths in disguise ("I work too hard") signal you dodged. One of my McKinsey interviewers followed up with "and what else?" purely to see if I had thought past the scripted answer.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8. Why should we hire you?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Answer with the intersection of proof: one analytical win, one team win, one signal you finish things.</w:t>
      </w:r>
      <w:r>
        <w:rPr>
          <w:rFonts w:ascii="Arial" w:hAnsi="Arial"/>
          <w:b w:val="0"/>
          <w:color w:val="000000"/>
          <w:sz w:val="22"/>
          <w:u w:val="none"/>
        </w:rPr>
        <w:t xml:space="preserve"> Three sentences. This is a synthesis test dressed up as a confidence test, and synthesis is the consulting skill.</w:t>
      </w:r>
    </w:p>
    <w:p>
      <w:pPr>
        <w:spacing w:line="480" w:lineRule="auto" w:before="0" w:after="0"/>
      </w:pPr>
    </w:p>
    <w:p>
      <w:pPr>
        <w:pStyle w:val="Heading2"/>
        <w:spacing w:line="480" w:lineRule="auto" w:before="0" w:after="0"/>
      </w:pPr>
      <w:r>
        <w:rPr>
          <w:rFonts w:ascii="Arial" w:hAnsi="Arial"/>
          <w:b/>
          <w:color w:val="000000"/>
          <w:sz w:val="36"/>
          <w:u w:val="none"/>
        </w:rPr>
        <w:t>Behavioral and PEI questions</w:t>
      </w:r>
    </w:p>
    <w:p>
      <w:pPr>
        <w:spacing w:line="480" w:lineRule="auto" w:before="0" w:after="0"/>
      </w:pPr>
      <w:r>
        <w:rPr>
          <w:rFonts w:ascii="Arial" w:hAnsi="Arial"/>
          <w:b w:val="0"/>
          <w:color w:val="000000"/>
          <w:sz w:val="22"/>
          <w:u w:val="none"/>
        </w:rPr>
        <w:t>McKinsey formalizes these in the Personal Experience Interview, which since its 2025 refresh scores four dimensions: Leadership, Connection, Growth, and Drive [VERIFY: dimension names on mckinsey.com/careers/interviewing]. BCG and Bain ask the same stories with less branding. Prepare one story per dimension, three minutes each, told in STAR order.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9. Tell me about a time you led a team through a difficult project.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Leadership stories need a moment where the team was stuck and your specific action unstuck it.</w:t>
      </w:r>
      <w:r>
        <w:rPr>
          <w:rFonts w:ascii="Arial" w:hAnsi="Arial"/>
          <w:b w:val="0"/>
          <w:color w:val="000000"/>
          <w:sz w:val="22"/>
          <w:u w:val="none"/>
        </w:rPr>
        <w:t xml:space="preserve"> Names, headcount, deadline, outcome. "We all worked hard" is a team story, not a leadership story.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10. Tell me about a time you changed someone's mind.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The Connection dimension rewards persuasion through understanding, never authority.</w:t>
      </w:r>
      <w:r>
        <w:rPr>
          <w:rFonts w:ascii="Arial" w:hAnsi="Arial"/>
          <w:b w:val="0"/>
          <w:color w:val="000000"/>
          <w:sz w:val="22"/>
          <w:u w:val="none"/>
        </w:rPr>
        <w:t xml:space="preserve"> Show how you diagnosed why the person disagreed, what you changed in your approach, and what shifted. Data alone rarely moves people, and interviewers know it.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11. Tell me about a time you set an ambitious goal and hit it.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Drive stories work when the goal was measurable and the odds were visibly against you.</w:t>
      </w:r>
      <w:r>
        <w:rPr>
          <w:rFonts w:ascii="Arial" w:hAnsi="Arial"/>
          <w:b w:val="0"/>
          <w:color w:val="000000"/>
          <w:sz w:val="22"/>
          <w:u w:val="none"/>
        </w:rPr>
        <w:t xml:space="preserve"> Quantify the gap between start and finish. A 40-person club you doubled says more than a title you held.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12. Tell me about a time you challenged how something was done.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Growth stories separate candidates who improve systems from candidates who survive them.</w:t>
      </w:r>
      <w:r>
        <w:rPr>
          <w:rFonts w:ascii="Arial" w:hAnsi="Arial"/>
          <w:b w:val="0"/>
          <w:color w:val="000000"/>
          <w:sz w:val="22"/>
          <w:u w:val="none"/>
        </w:rPr>
        <w:t xml:space="preserve"> Name the process, the friction you hit when you pushed, and what the change produced. Respectful persistence is the trait being scored.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13. Tell me about a failure.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Pick a failure with stakes, not a humblebrag with a bow on it.</w:t>
      </w:r>
      <w:r>
        <w:rPr>
          <w:rFonts w:ascii="Arial" w:hAnsi="Arial"/>
          <w:b w:val="0"/>
          <w:color w:val="000000"/>
          <w:sz w:val="22"/>
          <w:u w:val="none"/>
        </w:rPr>
        <w:t xml:space="preserve"> What broke, what it cost, what you changed afterward. The interviewer is testing whether you metabolize failure into method.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14. Tell me about a conflict on a team.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Conflict answers are scored on diagnosis, so explain why the disagreement existed before you explain the fix.</w:t>
      </w:r>
      <w:r>
        <w:rPr>
          <w:rFonts w:ascii="Arial" w:hAnsi="Arial"/>
          <w:b w:val="0"/>
          <w:color w:val="000000"/>
          <w:sz w:val="22"/>
          <w:u w:val="none"/>
        </w:rPr>
        <w:t xml:space="preserve"> Two capable people usually disagree because they hold different information or different incentives. Say which it was.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15. Tell me about influencing someone senior to you.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Managing up is the daily reality of a first-year consultant, and this question simulates it.</w:t>
      </w:r>
      <w:r>
        <w:rPr>
          <w:rFonts w:ascii="Arial" w:hAnsi="Arial"/>
          <w:b w:val="0"/>
          <w:color w:val="000000"/>
          <w:sz w:val="22"/>
          <w:u w:val="none"/>
        </w:rPr>
        <w:t xml:space="preserve"> A professor, a boss, a club advisor all work. The winning shape: you earned the right to push by doing the work first.</w:t>
      </w:r>
    </w:p>
    <w:p>
      <w:pPr>
        <w:spacing w:line="480" w:lineRule="auto" w:before="0" w:after="0"/>
      </w:pPr>
    </w:p>
    <w:p>
      <w:pPr>
        <w:pStyle w:val="Heading2"/>
        <w:spacing w:line="480" w:lineRule="auto" w:before="0" w:after="0"/>
      </w:pPr>
      <w:r>
        <w:rPr>
          <w:rFonts w:ascii="Arial" w:hAnsi="Arial"/>
          <w:b/>
          <w:color w:val="000000"/>
          <w:sz w:val="36"/>
          <w:u w:val="none"/>
        </w:rPr>
        <w:t>Case interview openers</w:t>
      </w:r>
    </w:p>
    <w:p>
      <w:pPr>
        <w:spacing w:line="480" w:lineRule="auto" w:before="0" w:after="0"/>
      </w:pPr>
      <w:r>
        <w:rPr>
          <w:rFonts w:ascii="Arial" w:hAnsi="Arial"/>
          <w:b w:val="0"/>
          <w:color w:val="000000"/>
          <w:sz w:val="22"/>
          <w:u w:val="none"/>
        </w:rPr>
        <w:t xml:space="preserve">The five case types below cover most first rounds. McKinsey publishes four official practice cases (Beautify, Diconsa, Electro-Light, Talbot Trucks) on its </w:t>
      </w:r>
      <w:hyperlink r:id="rId11">
        <w:r>
          <w:rPr>
            <w:rFonts w:ascii="Arial" w:hAnsi="Arial"/>
            <w:sz w:val="22"/>
            <w:color w:val="0563C1"/>
            <w:u w:val="single"/>
          </w:rPr>
          <w:t xml:space="preserve">interviewing page</w:t>
        </w:r>
      </w:hyperlink>
      <w:r>
        <w:rPr>
          <w:rFonts w:ascii="Arial" w:hAnsi="Arial"/>
          <w:b w:val="0"/>
          <w:color w:val="000000"/>
          <w:sz w:val="22"/>
          <w:u w:val="none"/>
        </w:rPr>
        <w:t xml:space="preserve">, and Bain posts full practice cases with sample answers on its </w:t>
      </w:r>
      <w:hyperlink r:id="rId12">
        <w:r>
          <w:rPr>
            <w:rFonts w:ascii="Arial" w:hAnsi="Arial"/>
            <w:sz w:val="22"/>
            <w:color w:val="0563C1"/>
            <w:u w:val="single"/>
          </w:rPr>
          <w:t xml:space="preserve">case interview page</w:t>
        </w:r>
      </w:hyperlink>
      <w:r>
        <w:rPr>
          <w:rFonts w:ascii="Arial" w:hAnsi="Arial"/>
          <w:b w:val="0"/>
          <w:color w:val="000000"/>
          <w:sz w:val="22"/>
          <w:u w:val="none"/>
        </w:rPr>
        <w:t>.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16. Our client's profits are declining. Why, and what should they do?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Profitability is the most common first-round case, and the split is always revenue versus cost.</w:t>
      </w:r>
      <w:r>
        <w:rPr>
          <w:rFonts w:ascii="Arial" w:hAnsi="Arial"/>
          <w:b w:val="0"/>
          <w:color w:val="000000"/>
          <w:sz w:val="22"/>
          <w:u w:val="none"/>
        </w:rPr>
        <w:t xml:space="preserve"> Segment revenue into price and volume, costs into fixed and variable, then isolate which line moved. Diagnose before you prescribe. Bain's FashionCo practice case is precisely this.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17. How should our client grow revenue?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Growth cases reward a structure built from the client's actual levers, never a memorized tree.</w:t>
      </w:r>
      <w:r>
        <w:rPr>
          <w:rFonts w:ascii="Arial" w:hAnsi="Arial"/>
          <w:b w:val="0"/>
          <w:color w:val="000000"/>
          <w:sz w:val="22"/>
          <w:u w:val="none"/>
        </w:rPr>
        <w:t xml:space="preserve"> More customers, more per customer, new segments, new geographies. Pick the two branches the case data supports and go deep instead of wide.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18. Should our client enter this market?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Market entry hinges on three questions: is the market attractive, can we win it, and does the math work.</w:t>
      </w:r>
      <w:r>
        <w:rPr>
          <w:rFonts w:ascii="Arial" w:hAnsi="Arial"/>
          <w:b w:val="0"/>
          <w:color w:val="000000"/>
          <w:sz w:val="22"/>
          <w:u w:val="none"/>
        </w:rPr>
        <w:t xml:space="preserve"> McKinsey's Diconsa case, on bringing financial services to rural Mexico, is the canonical practice version. Always end with a go or no-go.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19. Should our client launch this new product?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Product launch cases are market entry plus cannibalization.</w:t>
      </w:r>
      <w:r>
        <w:rPr>
          <w:rFonts w:ascii="Arial" w:hAnsi="Arial"/>
          <w:b w:val="0"/>
          <w:color w:val="000000"/>
          <w:sz w:val="22"/>
          <w:u w:val="none"/>
        </w:rPr>
        <w:t xml:space="preserve"> The new product competes with the client's own line as well as rivals. McKinsey's Electro-Light case tests exactly this trap, and candidates who miss cannibalization rarely advance.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20. Should our client acquire this company?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M&amp;A cases turn on standalone value, synergies, and price, in that order.</w:t>
      </w:r>
      <w:r>
        <w:rPr>
          <w:rFonts w:ascii="Arial" w:hAnsi="Arial"/>
          <w:b w:val="0"/>
          <w:color w:val="000000"/>
          <w:sz w:val="22"/>
          <w:u w:val="none"/>
        </w:rPr>
        <w:t xml:space="preserve"> A target can be a great company and a terrible deal at the wrong premium. Ask what else the client could do with the same capital. Almost nobody does.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21. Our client's margins trail the industry. Where do the costs hide?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Operations cases reward walking the value chain step by step instead of guessing.</w:t>
      </w:r>
      <w:r>
        <w:rPr>
          <w:rFonts w:ascii="Arial" w:hAnsi="Arial"/>
          <w:b w:val="0"/>
          <w:color w:val="000000"/>
          <w:sz w:val="22"/>
          <w:u w:val="none"/>
        </w:rPr>
        <w:t xml:space="preserve"> Benchmark each major cost line against the industry, find the outlier, then ask whether it's structural or fixable. Never recommend cuts without naming the mechanism that makes them stick.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22. Your friend wants to open a coffee shop. Should she?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Small-business cases test whether your toolkit survives outside the Fortune 500.</w:t>
      </w:r>
      <w:r>
        <w:rPr>
          <w:rFonts w:ascii="Arial" w:hAnsi="Arial"/>
          <w:b w:val="0"/>
          <w:color w:val="000000"/>
          <w:sz w:val="22"/>
          <w:u w:val="none"/>
        </w:rPr>
        <w:t xml:space="preserve"> Bain's official Coffee Shop Co. practice case asks this about a shop in Cambridge, England. Breakeven math carries the day: fixed costs divided by contribution per cup, then a judgment call on foot traffic.</w:t>
      </w:r>
    </w:p>
    <w:p>
      <w:pPr>
        <w:spacing w:line="480" w:lineRule="auto" w:before="0" w:after="0"/>
      </w:pPr>
    </w:p>
    <w:p>
      <w:pPr>
        <w:pStyle w:val="Heading2"/>
        <w:spacing w:line="480" w:lineRule="auto" w:before="0" w:after="0"/>
      </w:pPr>
      <w:r>
        <w:rPr>
          <w:rFonts w:ascii="Arial" w:hAnsi="Arial"/>
          <w:b/>
          <w:color w:val="000000"/>
          <w:sz w:val="36"/>
          <w:u w:val="none"/>
        </w:rPr>
        <w:t>Market sizing questions</w:t>
      </w:r>
    </w:p>
    <w:p>
      <w:pPr>
        <w:spacing w:line="480" w:lineRule="auto" w:before="0" w:after="0"/>
      </w:pPr>
      <w:r>
        <w:rPr>
          <w:rFonts w:ascii="Arial" w:hAnsi="Arial"/>
          <w:b w:val="0"/>
          <w:color w:val="000000"/>
          <w:sz w:val="22"/>
          <w:u w:val="none"/>
        </w:rPr>
        <w:t>Sizing shows up inside cases and as standalone questions. State assumptions out loud, round aggressively, and sanity-check the result.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23. How many T-shirts are bought in the US each year?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Population-based sizing starts with 330 million people and segments from there.</w:t>
      </w:r>
      <w:r>
        <w:rPr>
          <w:rFonts w:ascii="Arial" w:hAnsi="Arial"/>
          <w:b w:val="0"/>
          <w:color w:val="000000"/>
          <w:sz w:val="22"/>
          <w:u w:val="none"/>
        </w:rPr>
        <w:t xml:space="preserve"> Assume shirts per person per year by age band, multiply, done. The interviewer grades the scaffolding, never the final number.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24. Estimate the US smartphone market.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Stock-versus-flow is the trap in device sizing.</w:t>
      </w:r>
      <w:r>
        <w:rPr>
          <w:rFonts w:ascii="Arial" w:hAnsi="Arial"/>
          <w:b w:val="0"/>
          <w:color w:val="000000"/>
          <w:sz w:val="22"/>
          <w:u w:val="none"/>
        </w:rPr>
        <w:t xml:space="preserve"> Installed base and annual purchases are different numbers. Say which one you're sizing, then use replacement cycles (roughly every three years) to bridge between them.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25. How many people in the US play golf?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Penetration questions reward honest segmentation over false precision.</w:t>
      </w:r>
      <w:r>
        <w:rPr>
          <w:rFonts w:ascii="Arial" w:hAnsi="Arial"/>
          <w:b w:val="0"/>
          <w:color w:val="000000"/>
          <w:sz w:val="22"/>
          <w:u w:val="none"/>
        </w:rPr>
        <w:t xml:space="preserve"> Cut by age and income, apply a participation rate per segment, and flag which assumption you'd pressure-test first. That last flag is what separates trained candidates.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26. Estimate the number of dentists working in the US.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Supply-side sizing works backward from demand.</w:t>
      </w:r>
      <w:r>
        <w:rPr>
          <w:rFonts w:ascii="Arial" w:hAnsi="Arial"/>
          <w:b w:val="0"/>
          <w:color w:val="000000"/>
          <w:sz w:val="22"/>
          <w:u w:val="none"/>
        </w:rPr>
        <w:t xml:space="preserve"> People per year per checkup, visits per dentist per day, working days per year. Two paths that converge on the same order of magnitude earn extra credit.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27. Size the US wedding market.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Multi-component sizing tests whether you can keep a structure alive across five minutes of math.</w:t>
      </w:r>
      <w:r>
        <w:rPr>
          <w:rFonts w:ascii="Arial" w:hAnsi="Arial"/>
          <w:b w:val="0"/>
          <w:color w:val="000000"/>
          <w:sz w:val="22"/>
          <w:u w:val="none"/>
        </w:rPr>
        <w:t xml:space="preserve"> Weddings per year times average spend, built from marriage rates. Keep a running tally out loud so the interviewer can follow the thread.</w:t>
      </w:r>
    </w:p>
    <w:p>
      <w:pPr>
        <w:spacing w:line="480" w:lineRule="auto" w:before="0" w:after="0"/>
      </w:pPr>
    </w:p>
    <w:p>
      <w:pPr>
        <w:pStyle w:val="Heading2"/>
        <w:spacing w:line="480" w:lineRule="auto" w:before="0" w:after="0"/>
      </w:pPr>
      <w:r>
        <w:rPr>
          <w:rFonts w:ascii="Arial" w:hAnsi="Arial"/>
          <w:b/>
          <w:color w:val="000000"/>
          <w:sz w:val="36"/>
          <w:u w:val="none"/>
        </w:rPr>
        <w:t>Charts and pressure math</w:t>
      </w: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28. What do you see in this exhibit?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Chart reads are scored on the "so what," never on description.</w:t>
      </w:r>
      <w:r>
        <w:rPr>
          <w:rFonts w:ascii="Arial" w:hAnsi="Arial"/>
          <w:b w:val="0"/>
          <w:color w:val="000000"/>
          <w:sz w:val="22"/>
          <w:u w:val="none"/>
        </w:rPr>
        <w:t xml:space="preserve"> Say the one insight that changes the client's decision, then the second-order implication. Practice on McKinsey's Solve assessment style: data first, conclusion fast.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29. How many tennis balls fit in an airplane?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Absurd estimates test composure, and composure is the entire point.</w:t>
      </w:r>
      <w:r>
        <w:rPr>
          <w:rFonts w:ascii="Arial" w:hAnsi="Arial"/>
          <w:b w:val="0"/>
          <w:color w:val="000000"/>
          <w:sz w:val="22"/>
          <w:u w:val="none"/>
        </w:rPr>
        <w:t xml:space="preserve"> Volume of cabin over volume of ball, minus seats and packing loss. Smile, structure it, and keep the units straight under pressure.</w:t>
      </w:r>
    </w:p>
    <w:p>
      <w:pPr>
        <w:spacing w:line="480" w:lineRule="auto" w:before="0" w:after="0"/>
      </w:pPr>
    </w:p>
    <w:p>
      <w:pPr>
        <w:pStyle w:val="Heading2"/>
        <w:spacing w:line="480" w:lineRule="auto" w:before="0" w:after="0"/>
      </w:pPr>
      <w:r>
        <w:rPr>
          <w:rFonts w:ascii="Arial" w:hAnsi="Arial"/>
          <w:b/>
          <w:color w:val="000000"/>
          <w:sz w:val="36"/>
          <w:u w:val="none"/>
        </w:rPr>
        <w:t>The closer</w:t>
      </w: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30. What questions do you have for me?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Interviewers remember candidates whose questions prove they listened.</w:t>
      </w:r>
      <w:r>
        <w:rPr>
          <w:rFonts w:ascii="Arial" w:hAnsi="Arial"/>
          <w:b w:val="0"/>
          <w:color w:val="000000"/>
          <w:sz w:val="22"/>
          <w:u w:val="none"/>
        </w:rPr>
        <w:t xml:space="preserve"> Reference something the interviewer said earlier and go one level deeper. Skip anything a careers page could answer, and never ask about hours in a first round.</w:t>
      </w:r>
    </w:p>
    <w:p>
      <w:pPr>
        <w:spacing w:line="480" w:lineRule="auto" w:before="0" w:after="0"/>
      </w:pPr>
    </w:p>
    <w:p>
      <w:pPr>
        <w:pStyle w:val="Heading2"/>
        <w:spacing w:line="480" w:lineRule="auto" w:before="0" w:after="0"/>
      </w:pPr>
      <w:r>
        <w:rPr>
          <w:rFonts w:ascii="Arial" w:hAnsi="Arial"/>
          <w:b/>
          <w:color w:val="000000"/>
          <w:sz w:val="36"/>
          <w:u w:val="none"/>
        </w:rPr>
        <w:t>What about the questions not on this list?</w:t>
      </w:r>
    </w:p>
    <w:p>
      <w:pPr>
        <w:spacing w:line="480" w:lineRule="auto" w:before="0" w:after="0"/>
      </w:pPr>
      <w:r>
        <w:rPr>
          <w:rFonts w:ascii="Arial" w:hAnsi="Arial"/>
          <w:b w:val="0"/>
          <w:color w:val="000000"/>
          <w:sz w:val="22"/>
          <w:u w:val="none"/>
        </w:rPr>
        <w:t>Three MBB screens sit outside live interviews. McKinsey runs the Solve assessment, a gamified test whose current core is the Redrock case study. BCG sends most US undergrad applicants its Consulting Career Assessment, with the Casey chatbot case going to a subset afterward. Bain uses an online test that varies by office, covered in our Bain SOVA guide. Written cases also appear in some Bain final rounds. Prep for these separately; none of them replaces live case reps.</w:t>
      </w:r>
    </w:p>
    <w:p>
      <w:pPr>
        <w:spacing w:line="480" w:lineRule="auto" w:before="0" w:after="0"/>
      </w:pPr>
    </w:p>
    <w:p>
      <w:pPr>
        <w:pStyle w:val="Heading2"/>
        <w:spacing w:line="480" w:lineRule="auto" w:before="0" w:after="0"/>
      </w:pPr>
      <w:r>
        <w:rPr>
          <w:rFonts w:ascii="Arial" w:hAnsi="Arial"/>
          <w:b/>
          <w:color w:val="000000"/>
          <w:sz w:val="36"/>
          <w:u w:val="none"/>
        </w:rPr>
        <w:t>Say this, don't say that</w:t>
      </w: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Why consulting?</w:t>
      </w:r>
    </w:p>
    <w:p>
      <w:pPr>
        <w:spacing w:line="480" w:lineRule="auto" w:before="0" w:after="0"/>
      </w:pPr>
      <w:r>
        <w:rPr>
          <w:rFonts w:ascii="Arial" w:hAnsi="Arial"/>
          <w:b w:val="0"/>
          <w:color w:val="000000"/>
          <w:sz w:val="22"/>
          <w:u w:val="none"/>
        </w:rPr>
        <w:t>Don't say: "I love solving problems and working with smart people."</w:t>
      </w:r>
    </w:p>
    <w:p>
      <w:pPr>
        <w:spacing w:line="480" w:lineRule="auto" w:before="0" w:after="0"/>
      </w:pPr>
      <w:r>
        <w:rPr>
          <w:rFonts w:ascii="Arial" w:hAnsi="Arial"/>
          <w:b w:val="0"/>
          <w:color w:val="000000"/>
          <w:sz w:val="22"/>
          <w:u w:val="none"/>
        </w:rPr>
        <w:t>Say: "I ran a pricing project for my campus coffee co-op that raised margin 9 points, and the diagnosis phase felt like the best class I'd taken. A McKinsey BA I met in March described her casework the same way."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/>
          <w:color w:val="000000"/>
          <w:sz w:val="22"/>
          <w:u w:val="none"/>
        </w:rPr>
        <w:t>Why this firm?</w:t>
      </w:r>
    </w:p>
    <w:p>
      <w:pPr>
        <w:spacing w:line="480" w:lineRule="auto" w:before="0" w:after="0"/>
      </w:pPr>
      <w:r>
        <w:rPr>
          <w:rFonts w:ascii="Arial" w:hAnsi="Arial"/>
          <w:b w:val="0"/>
          <w:color w:val="000000"/>
          <w:sz w:val="22"/>
          <w:u w:val="none"/>
        </w:rPr>
        <w:t>Don't say: "Bain's culture and people really resonate with me."</w:t>
      </w:r>
    </w:p>
    <w:p>
      <w:pPr>
        <w:spacing w:line="480" w:lineRule="auto" w:before="0" w:after="0"/>
      </w:pPr>
      <w:r>
        <w:rPr>
          <w:rFonts w:ascii="Arial" w:hAnsi="Arial"/>
          <w:b w:val="0"/>
          <w:color w:val="000000"/>
          <w:sz w:val="22"/>
          <w:u w:val="none"/>
        </w:rPr>
        <w:t>Say: "I spoke with Priya in your Chicago consumer practice in June, and her description of running a store-footprint model as a first-year AC is the ownership I want."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Arial" w:hAnsi="Arial"/>
          <w:b w:val="0"/>
          <w:color w:val="000000"/>
          <w:sz w:val="22"/>
          <w:u w:val="none"/>
        </w:rPr>
        <w:t>The 2027 cycle is nearly closed, but Bain's second Summer 2027 application window runs through August 31, 2026 [VERIFY: bain.com careers deadline page], and Summer 2028 applications are expected to open in fall 2026 [VERIFY: firm careers pages]. Book five live mock cases before your first real one. Drill these 30 out loud, in order, and the interview stops being a surprise.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reers.bcg.com/global/en/interview-process" TargetMode="External"/><Relationship Id="rId10" Type="http://schemas.openxmlformats.org/officeDocument/2006/relationships/hyperlink" Target="https://www.bain.com/careers/hiring-process/interviewing/" TargetMode="External"/><Relationship Id="rId11" Type="http://schemas.openxmlformats.org/officeDocument/2006/relationships/hyperlink" Target="https://www.mckinsey.com/careers/interviewing" TargetMode="External"/><Relationship Id="rId12" Type="http://schemas.openxmlformats.org/officeDocument/2006/relationships/hyperlink" Target="https://www.bain.com/careers/hiring-process/case-interview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