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Top Real Estate Investment Banks: 8 Firms to Know</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ranks the 8 top real estate investment banks, with verified 2024-2026 deals, who owns what after the Eastdil sale, and how undergrads get in.</w:t>
      </w:r>
    </w:p>
    <w:p>
      <w:pPr>
        <w:spacing w:line="480" w:lineRule="auto" w:before="0" w:after="0"/>
      </w:pPr>
    </w:p>
    <w:p>
      <w:pPr>
        <w:spacing w:line="480" w:lineRule="auto" w:before="0" w:after="0"/>
      </w:pPr>
      <w:r>
        <w:rPr>
          <w:rFonts w:ascii="Arial" w:hAnsi="Arial"/>
          <w:b/>
          <w:color w:val="000000"/>
          <w:sz w:val="22"/>
          <w:u w:val="none"/>
        </w:rPr>
        <w:t>Real estate investment banking runs on two lanes, and the eight firms below own them.</w:t>
      </w:r>
      <w:r>
        <w:rPr>
          <w:rFonts w:ascii="Arial" w:hAnsi="Arial"/>
          <w:b w:val="0"/>
          <w:color w:val="000000"/>
          <w:sz w:val="22"/>
          <w:u w:val="none"/>
        </w:rPr>
        <w:t xml:space="preserve"> The corporate lane advises REITs on mergers and take-privates. The asset lane sells and finances the buildings themselves. When Rithm Capital agreed to buy Paramount Group for $1.6 billion in September 2025, the press release listed financial advisors and real estate advisors as separate categories, which tells you the industry itself thinks in these two lanes.</w:t>
      </w:r>
    </w:p>
    <w:p>
      <w:pPr>
        <w:spacing w:line="480" w:lineRule="auto" w:before="0" w:after="0"/>
      </w:pPr>
    </w:p>
    <w:p>
      <w:pPr>
        <w:spacing w:line="480" w:lineRule="auto" w:before="0" w:after="0"/>
      </w:pPr>
      <w:r>
        <w:rPr>
          <w:rFonts w:ascii="Arial" w:hAnsi="Arial"/>
          <w:b w:val="0"/>
          <w:color w:val="000000"/>
          <w:sz w:val="22"/>
          <w:u w:val="none"/>
        </w:rPr>
        <w:t>As a former McKinsey consultant who now runs WSG, I watch students discover real estate IB late, usually after burning a cycle applying only to generalist M&amp;A. The firms below hire undergrads into real property work every year, and one of them just changed owners this month.</w:t>
      </w:r>
    </w:p>
    <w:p>
      <w:pPr>
        <w:spacing w:line="480" w:lineRule="auto" w:before="0" w:after="0"/>
      </w:pPr>
    </w:p>
    <w:p>
      <w:pPr>
        <w:pStyle w:val="Heading2"/>
        <w:spacing w:line="480" w:lineRule="auto" w:before="0" w:after="0"/>
      </w:pPr>
      <w:r>
        <w:rPr>
          <w:rFonts w:ascii="Arial" w:hAnsi="Arial"/>
          <w:b/>
          <w:color w:val="000000"/>
          <w:sz w:val="36"/>
          <w:u w:val="none"/>
        </w:rPr>
        <w:t>What do real estate investment banks actually do?</w:t>
      </w:r>
    </w:p>
    <w:p>
      <w:pPr>
        <w:spacing w:line="480" w:lineRule="auto" w:before="0" w:after="0"/>
      </w:pPr>
      <w:r>
        <w:rPr>
          <w:rFonts w:ascii="Arial" w:hAnsi="Arial"/>
          <w:b w:val="0"/>
          <w:color w:val="000000"/>
          <w:sz w:val="22"/>
          <w:u w:val="none"/>
        </w:rPr>
        <w:t>Corporate-level work first: REIT mergers, take-privates, IPOs, and capital raises, run by bank coverage groups and Eastdil Secured. Asset-level work second: selling individual towers and portfolios, placing debt, and arranging joint ventures, dominated by capital markets platforms like JLL and Newmark. Analysts in both lanes model cash flows, but the corporate lane prices companies while the asset lane prices buildings.</w:t>
      </w:r>
    </w:p>
    <w:p>
      <w:pPr>
        <w:spacing w:line="480" w:lineRule="auto" w:before="0" w:after="0"/>
      </w:pPr>
    </w:p>
    <w:p>
      <w:pPr>
        <w:pStyle w:val="Heading2"/>
        <w:spacing w:line="480" w:lineRule="auto" w:before="0" w:after="0"/>
      </w:pPr>
      <w:r>
        <w:rPr>
          <w:rFonts w:ascii="Arial" w:hAnsi="Arial"/>
          <w:b/>
          <w:color w:val="000000"/>
          <w:sz w:val="36"/>
          <w:u w:val="none"/>
        </w:rPr>
        <w:t>Is Eastdil Secured an investment bank or a brokerage?</w:t>
      </w:r>
    </w:p>
    <w:p>
      <w:pPr>
        <w:spacing w:line="480" w:lineRule="auto" w:before="0" w:after="0"/>
      </w:pPr>
      <w:r>
        <w:rPr>
          <w:rFonts w:ascii="Arial" w:hAnsi="Arial"/>
          <w:b w:val="0"/>
          <w:color w:val="000000"/>
          <w:sz w:val="22"/>
          <w:u w:val="none"/>
        </w:rPr>
        <w:t>Both, deliberately. Eastdil calls itself a real estate investment bank, runs property sales and debt placement like a brokerage, and advises on REIT M&amp;A like a bank. It appeared on both sides of the Rithm press release's advisor split, the only firm that did.</w:t>
      </w:r>
    </w:p>
    <w:p>
      <w:pPr>
        <w:spacing w:line="480" w:lineRule="auto" w:before="0" w:after="0"/>
      </w:pPr>
    </w:p>
    <w:p>
      <w:pPr>
        <w:pStyle w:val="Heading2"/>
        <w:spacing w:line="480" w:lineRule="auto" w:before="0" w:after="0"/>
      </w:pPr>
      <w:r>
        <w:rPr>
          <w:rFonts w:ascii="Arial" w:hAnsi="Arial"/>
          <w:b/>
          <w:color w:val="000000"/>
          <w:sz w:val="36"/>
          <w:u w:val="none"/>
        </w:rPr>
        <w:t>Why 2026 is a strange, useful moment to aim here</w:t>
      </w:r>
    </w:p>
    <w:p>
      <w:pPr>
        <w:spacing w:line="480" w:lineRule="auto" w:before="0" w:after="0"/>
      </w:pPr>
      <w:r>
        <w:rPr>
          <w:rFonts w:ascii="Arial" w:hAnsi="Arial"/>
          <w:b w:val="0"/>
          <w:color w:val="000000"/>
          <w:sz w:val="22"/>
          <w:u w:val="none"/>
        </w:rPr>
        <w:t>The deal backdrop is thin and consolidating, which reads bearish until you notice what it does for entrants. H1 2025 REIT M&amp;A closed just four deals worth $9.2 billion, the slowest first half in years [VERIFY: Real Estate Alert], yet the platforms kept hiring analysts because debt maturities, recapitalizations, and take-private pipelines don't pause with volume. Meanwhile the industry reshuffled: Savills bought Eastdil, Newmark raided the top brokerage teams, and banks like Wells reorganized around credit.</w:t>
      </w:r>
    </w:p>
    <w:p>
      <w:pPr>
        <w:spacing w:line="480" w:lineRule="auto" w:before="0" w:after="0"/>
      </w:pPr>
    </w:p>
    <w:p>
      <w:pPr>
        <w:spacing w:line="480" w:lineRule="auto" w:before="0" w:after="0"/>
      </w:pPr>
      <w:r>
        <w:rPr>
          <w:rFonts w:ascii="Arial" w:hAnsi="Arial"/>
          <w:b w:val="0"/>
          <w:color w:val="000000"/>
          <w:sz w:val="22"/>
          <w:u w:val="none"/>
        </w:rPr>
        <w:t>Slow markets make better training grounds than manic ones. Analysts in 2026 cohorts work harder situations, distressed refis and contested board processes, than the 2021 class ever saw. When volume returns, the people who learned in the drought run the recovery.</w:t>
      </w:r>
    </w:p>
    <w:p>
      <w:pPr>
        <w:spacing w:line="480" w:lineRule="auto" w:before="0" w:after="0"/>
      </w:pPr>
    </w:p>
    <w:p>
      <w:pPr>
        <w:pStyle w:val="Heading2"/>
        <w:spacing w:line="480" w:lineRule="auto" w:before="0" w:after="0"/>
      </w:pPr>
      <w:r>
        <w:rPr>
          <w:rFonts w:ascii="Arial" w:hAnsi="Arial"/>
          <w:b/>
          <w:color w:val="000000"/>
          <w:sz w:val="36"/>
          <w:u w:val="none"/>
        </w:rPr>
        <w:t>The 8 firms</w:t>
      </w:r>
    </w:p>
    <w:p>
      <w:pPr>
        <w:spacing w:line="480" w:lineRule="auto" w:before="0" w:after="0"/>
      </w:pPr>
      <w:r>
        <w:rPr>
          <w:rFonts w:ascii="Arial" w:hAnsi="Arial"/>
          <w:b/>
          <w:color w:val="000000"/>
          <w:sz w:val="22"/>
          <w:u w:val="none"/>
        </w:rPr>
        <w:t xml:space="preserve">1. </w:t>
      </w:r>
      <w:hyperlink r:id="rId9">
        <w:r>
          <w:rPr>
            <w:rFonts w:ascii="Arial" w:hAnsi="Arial"/>
            <w:b/>
            <w:sz w:val="22"/>
            <w:color w:val="0563C1"/>
            <w:u w:val="single"/>
          </w:rPr>
          <w:t xml:space="preserve">Eastdil Secured</w:t>
        </w:r>
      </w:hyperlink>
    </w:p>
    <w:p>
      <w:pPr>
        <w:spacing w:line="480" w:lineRule="auto" w:before="0" w:after="0"/>
      </w:pPr>
    </w:p>
    <w:p>
      <w:pPr>
        <w:spacing w:line="480" w:lineRule="auto" w:before="0" w:after="0"/>
      </w:pPr>
      <w:r>
        <w:rPr>
          <w:rFonts w:ascii="Arial" w:hAnsi="Arial"/>
          <w:b/>
          <w:color w:val="000000"/>
          <w:sz w:val="22"/>
          <w:u w:val="none"/>
        </w:rPr>
        <w:t>Eastdil is the closest thing real estate has to a specialist bulge bracket, and it topped the H1 2025 REIT M&amp;A rankings with a 70.8 percent market share.</w:t>
      </w:r>
    </w:p>
    <w:p>
      <w:pPr>
        <w:spacing w:line="480" w:lineRule="auto" w:before="0" w:after="0"/>
      </w:pPr>
    </w:p>
    <w:p>
      <w:pPr>
        <w:pStyle w:val="ListBullet"/>
        <w:spacing w:line="480" w:lineRule="auto" w:before="0" w:after="0"/>
      </w:pPr>
      <w:r>
        <w:rPr>
          <w:rFonts w:ascii="Arial" w:hAnsi="Arial"/>
          <w:b w:val="0"/>
          <w:color w:val="000000"/>
          <w:sz w:val="22"/>
          <w:u w:val="none"/>
        </w:rPr>
        <w:t>Website: eastdilsecured.com</w:t>
      </w:r>
    </w:p>
    <w:p>
      <w:pPr>
        <w:pStyle w:val="ListBullet"/>
        <w:spacing w:line="480" w:lineRule="auto" w:before="0" w:after="0"/>
      </w:pPr>
      <w:r>
        <w:rPr>
          <w:rFonts w:ascii="Arial" w:hAnsi="Arial"/>
          <w:b w:val="0"/>
          <w:color w:val="000000"/>
          <w:sz w:val="22"/>
          <w:u w:val="none"/>
        </w:rPr>
        <w:t>Franchise: property sales, debt placement, loan sales, JVs, plus REIT M&amp;A</w:t>
      </w:r>
    </w:p>
    <w:p>
      <w:pPr>
        <w:pStyle w:val="ListBullet"/>
        <w:spacing w:line="480" w:lineRule="auto" w:before="0" w:after="0"/>
      </w:pPr>
      <w:r>
        <w:rPr>
          <w:rFonts w:ascii="Arial" w:hAnsi="Arial"/>
          <w:b w:val="0"/>
          <w:color w:val="000000"/>
          <w:sz w:val="22"/>
          <w:u w:val="none"/>
        </w:rPr>
        <w:t>Verified mandate: advised GIC on its Store Capital stake sale, part of $6.5 billion of H1 2025 REIT M&amp;A credit [VERIFY: Real Estate Alert H1 2025 table]</w:t>
      </w:r>
    </w:p>
    <w:p>
      <w:pPr>
        <w:pStyle w:val="ListBullet"/>
        <w:spacing w:line="480" w:lineRule="auto" w:before="0" w:after="0"/>
      </w:pPr>
      <w:r>
        <w:rPr>
          <w:rFonts w:ascii="Arial" w:hAnsi="Arial"/>
          <w:b w:val="0"/>
          <w:color w:val="000000"/>
          <w:sz w:val="22"/>
          <w:u w:val="none"/>
        </w:rPr>
        <w:t>Entry: dedicated Analyst Program and a summer internship for undergrads</w:t>
      </w:r>
    </w:p>
    <w:p>
      <w:pPr>
        <w:pStyle w:val="ListBullet"/>
        <w:spacing w:line="480" w:lineRule="auto" w:before="0" w:after="0"/>
      </w:pPr>
      <w:r>
        <w:rPr>
          <w:rFonts w:ascii="Arial" w:hAnsi="Arial"/>
          <w:b w:val="0"/>
          <w:color w:val="000000"/>
          <w:sz w:val="22"/>
          <w:u w:val="none"/>
        </w:rPr>
        <w:t>Fresh fact: Savills completed its $1.1 billion acquisition on August 3, 2026, so the firm now operates as Eastdil Secured Savills [VERIFY: post-close branding]</w:t>
      </w:r>
    </w:p>
    <w:p>
      <w:pPr>
        <w:spacing w:line="480" w:lineRule="auto" w:before="0" w:after="0"/>
      </w:pPr>
    </w:p>
    <w:p>
      <w:pPr>
        <w:spacing w:line="480" w:lineRule="auto" w:before="0" w:after="0"/>
      </w:pPr>
      <w:r>
        <w:rPr>
          <w:rFonts w:ascii="Arial" w:hAnsi="Arial"/>
          <w:b w:val="0"/>
          <w:color w:val="000000"/>
          <w:sz w:val="22"/>
          <w:u w:val="none"/>
        </w:rPr>
        <w:t xml:space="preserve">Analysts touch marquee assets across sales, debt, and M&amp;A in one seat. </w:t>
      </w:r>
      <w:r>
        <w:rPr>
          <w:rFonts w:ascii="Arial" w:hAnsi="Arial"/>
          <w:b/>
          <w:color w:val="000000"/>
          <w:sz w:val="22"/>
          <w:u w:val="none"/>
        </w:rPr>
        <w:t>For a student certain about real estate, Eastdil beats a generalist BB offer on reps alone.</w:t>
      </w:r>
    </w:p>
    <w:p>
      <w:pPr>
        <w:spacing w:line="480" w:lineRule="auto" w:before="0" w:after="0"/>
      </w:pPr>
    </w:p>
    <w:p>
      <w:pPr>
        <w:spacing w:line="480" w:lineRule="auto" w:before="0" w:after="0"/>
      </w:pPr>
      <w:r>
        <w:rPr>
          <w:rFonts w:ascii="Arial" w:hAnsi="Arial"/>
          <w:b/>
          <w:color w:val="000000"/>
          <w:sz w:val="22"/>
          <w:u w:val="none"/>
        </w:rPr>
        <w:t xml:space="preserve">2. </w:t>
      </w:r>
      <w:hyperlink r:id="rId10">
        <w:r>
          <w:rPr>
            <w:rFonts w:ascii="Arial" w:hAnsi="Arial"/>
            <w:b/>
            <w:sz w:val="22"/>
            <w:color w:val="0563C1"/>
            <w:u w:val="single"/>
          </w:rPr>
          <w:t xml:space="preserve">Morgan Stanley</w:t>
        </w:r>
      </w:hyperlink>
    </w:p>
    <w:p>
      <w:pPr>
        <w:spacing w:line="480" w:lineRule="auto" w:before="0" w:after="0"/>
      </w:pPr>
    </w:p>
    <w:p>
      <w:pPr>
        <w:spacing w:line="480" w:lineRule="auto" w:before="0" w:after="0"/>
      </w:pPr>
      <w:r>
        <w:rPr>
          <w:rFonts w:ascii="Arial" w:hAnsi="Arial"/>
          <w:b/>
          <w:color w:val="000000"/>
          <w:sz w:val="22"/>
          <w:u w:val="none"/>
        </w:rPr>
        <w:t>Morgan Stanley ran the biggest real estate equity event of the decade, lead-left on Lineage's $4.4 billion IPO, the largest IPO of 2024.</w:t>
      </w:r>
    </w:p>
    <w:p>
      <w:pPr>
        <w:spacing w:line="480" w:lineRule="auto" w:before="0" w:after="0"/>
      </w:pPr>
    </w:p>
    <w:p>
      <w:pPr>
        <w:pStyle w:val="ListBullet"/>
        <w:spacing w:line="480" w:lineRule="auto" w:before="0" w:after="0"/>
      </w:pPr>
      <w:r>
        <w:rPr>
          <w:rFonts w:ascii="Arial" w:hAnsi="Arial"/>
          <w:b w:val="0"/>
          <w:color w:val="000000"/>
          <w:sz w:val="22"/>
          <w:u w:val="none"/>
        </w:rPr>
        <w:t>Website: morganstanley.com/careers</w:t>
      </w:r>
    </w:p>
    <w:p>
      <w:pPr>
        <w:pStyle w:val="ListBullet"/>
        <w:spacing w:line="480" w:lineRule="auto" w:before="0" w:after="0"/>
      </w:pPr>
      <w:r>
        <w:rPr>
          <w:rFonts w:ascii="Arial" w:hAnsi="Arial"/>
          <w:b w:val="0"/>
          <w:color w:val="000000"/>
          <w:sz w:val="22"/>
          <w:u w:val="none"/>
        </w:rPr>
        <w:t>Franchise: REIT M&amp;A, equity and debt capital markets for real estate</w:t>
      </w:r>
    </w:p>
    <w:p>
      <w:pPr>
        <w:pStyle w:val="ListBullet"/>
        <w:spacing w:line="480" w:lineRule="auto" w:before="0" w:after="0"/>
      </w:pPr>
      <w:r>
        <w:rPr>
          <w:rFonts w:ascii="Arial" w:hAnsi="Arial"/>
          <w:b w:val="0"/>
          <w:color w:val="000000"/>
          <w:sz w:val="22"/>
          <w:u w:val="none"/>
        </w:rPr>
        <w:t>Verified mandate: advised Blackstone on its $4 billion take-private of Retail Opportunity Investments, announced November 2024</w:t>
      </w:r>
    </w:p>
    <w:p>
      <w:pPr>
        <w:pStyle w:val="ListBullet"/>
        <w:spacing w:line="480" w:lineRule="auto" w:before="0" w:after="0"/>
      </w:pPr>
      <w:r>
        <w:rPr>
          <w:rFonts w:ascii="Arial" w:hAnsi="Arial"/>
          <w:b w:val="0"/>
          <w:color w:val="000000"/>
          <w:sz w:val="22"/>
          <w:u w:val="none"/>
        </w:rPr>
        <w:t>Entry: Investment Banking Summer Analyst with group placement into real estate</w:t>
      </w:r>
    </w:p>
    <w:p>
      <w:pPr>
        <w:spacing w:line="480" w:lineRule="auto" w:before="0" w:after="0"/>
      </w:pPr>
    </w:p>
    <w:p>
      <w:pPr>
        <w:spacing w:line="480" w:lineRule="auto" w:before="0" w:after="0"/>
      </w:pPr>
      <w:r>
        <w:rPr>
          <w:rFonts w:ascii="Arial" w:hAnsi="Arial"/>
          <w:b w:val="0"/>
          <w:color w:val="000000"/>
          <w:sz w:val="22"/>
          <w:u w:val="none"/>
        </w:rPr>
        <w:t>The legacy MSRE brand still pulls real-estate-minded talent. Standard IB comp, standard IB hours, plus a product mix that spans IPOs to buyouts.</w:t>
      </w:r>
    </w:p>
    <w:p>
      <w:pPr>
        <w:spacing w:line="480" w:lineRule="auto" w:before="0" w:after="0"/>
      </w:pPr>
    </w:p>
    <w:p>
      <w:pPr>
        <w:spacing w:line="480" w:lineRule="auto" w:before="0" w:after="0"/>
      </w:pPr>
      <w:r>
        <w:rPr>
          <w:rFonts w:ascii="Arial" w:hAnsi="Arial"/>
          <w:b/>
          <w:color w:val="000000"/>
          <w:sz w:val="22"/>
          <w:u w:val="none"/>
        </w:rPr>
        <w:t xml:space="preserve">3. </w:t>
      </w:r>
      <w:hyperlink r:id="rId11">
        <w:r>
          <w:rPr>
            <w:rFonts w:ascii="Arial" w:hAnsi="Arial"/>
            <w:b/>
            <w:sz w:val="22"/>
            <w:color w:val="0563C1"/>
            <w:u w:val="single"/>
          </w:rPr>
          <w:t xml:space="preserve">J.P. Morgan</w:t>
        </w:r>
      </w:hyperlink>
    </w:p>
    <w:p>
      <w:pPr>
        <w:spacing w:line="480" w:lineRule="auto" w:before="0" w:after="0"/>
      </w:pPr>
    </w:p>
    <w:p>
      <w:pPr>
        <w:spacing w:line="480" w:lineRule="auto" w:before="0" w:after="0"/>
      </w:pPr>
      <w:r>
        <w:rPr>
          <w:rFonts w:ascii="Arial" w:hAnsi="Arial"/>
          <w:b/>
          <w:color w:val="000000"/>
          <w:sz w:val="22"/>
          <w:u w:val="none"/>
        </w:rPr>
        <w:t>J.P. Morgan sat exclusive on the ROIC sale, advising the target while five firms crowded the buyer's side.</w:t>
      </w:r>
    </w:p>
    <w:p>
      <w:pPr>
        <w:spacing w:line="480" w:lineRule="auto" w:before="0" w:after="0"/>
      </w:pPr>
    </w:p>
    <w:p>
      <w:pPr>
        <w:pStyle w:val="ListBullet"/>
        <w:spacing w:line="480" w:lineRule="auto" w:before="0" w:after="0"/>
      </w:pPr>
      <w:r>
        <w:rPr>
          <w:rFonts w:ascii="Arial" w:hAnsi="Arial"/>
          <w:b w:val="0"/>
          <w:color w:val="000000"/>
          <w:sz w:val="22"/>
          <w:u w:val="none"/>
        </w:rPr>
        <w:t>Website: careers.jpmorgan.com</w:t>
      </w:r>
    </w:p>
    <w:p>
      <w:pPr>
        <w:pStyle w:val="ListBullet"/>
        <w:spacing w:line="480" w:lineRule="auto" w:before="0" w:after="0"/>
      </w:pPr>
      <w:r>
        <w:rPr>
          <w:rFonts w:ascii="Arial" w:hAnsi="Arial"/>
          <w:b w:val="0"/>
          <w:color w:val="000000"/>
          <w:sz w:val="22"/>
          <w:u w:val="none"/>
        </w:rPr>
        <w:t>Franchise: real estate and lodging coverage plus one of the largest bank CRE lending books in the country</w:t>
      </w:r>
    </w:p>
    <w:p>
      <w:pPr>
        <w:pStyle w:val="ListBullet"/>
        <w:spacing w:line="480" w:lineRule="auto" w:before="0" w:after="0"/>
      </w:pPr>
      <w:r>
        <w:rPr>
          <w:rFonts w:ascii="Arial" w:hAnsi="Arial"/>
          <w:b w:val="0"/>
          <w:color w:val="000000"/>
          <w:sz w:val="22"/>
          <w:u w:val="none"/>
        </w:rPr>
        <w:t>Verified mandate: exclusive financial advisor to Retail Opportunity Investments on the $4 billion Blackstone deal</w:t>
      </w:r>
    </w:p>
    <w:p>
      <w:pPr>
        <w:pStyle w:val="ListBullet"/>
        <w:spacing w:line="480" w:lineRule="auto" w:before="0" w:after="0"/>
      </w:pPr>
      <w:r>
        <w:rPr>
          <w:rFonts w:ascii="Arial" w:hAnsi="Arial"/>
          <w:b w:val="0"/>
          <w:color w:val="000000"/>
          <w:sz w:val="22"/>
          <w:u w:val="none"/>
        </w:rPr>
        <w:t>Entry: Investment Banking Summer Analyst, real estate group placement</w:t>
      </w:r>
    </w:p>
    <w:p>
      <w:pPr>
        <w:spacing w:line="480" w:lineRule="auto" w:before="0" w:after="0"/>
      </w:pPr>
    </w:p>
    <w:p>
      <w:pPr>
        <w:spacing w:line="480" w:lineRule="auto" w:before="0" w:after="0"/>
      </w:pPr>
      <w:r>
        <w:rPr>
          <w:rFonts w:ascii="Arial" w:hAnsi="Arial"/>
          <w:b w:val="0"/>
          <w:color w:val="000000"/>
          <w:sz w:val="22"/>
          <w:u w:val="none"/>
        </w:rPr>
        <w:t>The lending book is the differentiator: analysts see advisory and balance-sheet sides of the same clients.</w:t>
      </w:r>
    </w:p>
    <w:p>
      <w:pPr>
        <w:spacing w:line="480" w:lineRule="auto" w:before="0" w:after="0"/>
      </w:pPr>
    </w:p>
    <w:p>
      <w:pPr>
        <w:spacing w:line="480" w:lineRule="auto" w:before="0" w:after="0"/>
      </w:pPr>
      <w:r>
        <w:rPr>
          <w:rFonts w:ascii="Arial" w:hAnsi="Arial"/>
          <w:b/>
          <w:color w:val="000000"/>
          <w:sz w:val="22"/>
          <w:u w:val="none"/>
        </w:rPr>
        <w:t xml:space="preserve">4. </w:t>
      </w:r>
      <w:hyperlink r:id="rId12">
        <w:r>
          <w:rPr>
            <w:rFonts w:ascii="Arial" w:hAnsi="Arial"/>
            <w:b/>
            <w:sz w:val="22"/>
            <w:color w:val="0563C1"/>
            <w:u w:val="single"/>
          </w:rPr>
          <w:t xml:space="preserve">Bank of America</w:t>
        </w:r>
      </w:hyperlink>
    </w:p>
    <w:p>
      <w:pPr>
        <w:spacing w:line="480" w:lineRule="auto" w:before="0" w:after="0"/>
      </w:pPr>
    </w:p>
    <w:p>
      <w:pPr>
        <w:spacing w:line="480" w:lineRule="auto" w:before="0" w:after="0"/>
      </w:pPr>
      <w:r>
        <w:rPr>
          <w:rFonts w:ascii="Arial" w:hAnsi="Arial"/>
          <w:b/>
          <w:color w:val="000000"/>
          <w:sz w:val="22"/>
          <w:u w:val="none"/>
        </w:rPr>
        <w:t>BofA is the only bulge bracket that pairs real estate with gaming and lodging coverage in one group, and the pairing keeps landing sole-advisor seats.</w:t>
      </w:r>
    </w:p>
    <w:p>
      <w:pPr>
        <w:spacing w:line="480" w:lineRule="auto" w:before="0" w:after="0"/>
      </w:pPr>
    </w:p>
    <w:p>
      <w:pPr>
        <w:pStyle w:val="ListBullet"/>
        <w:spacing w:line="480" w:lineRule="auto" w:before="0" w:after="0"/>
      </w:pPr>
      <w:r>
        <w:rPr>
          <w:rFonts w:ascii="Arial" w:hAnsi="Arial"/>
          <w:b w:val="0"/>
          <w:color w:val="000000"/>
          <w:sz w:val="22"/>
          <w:u w:val="none"/>
        </w:rPr>
        <w:t>Website: careers.bankofamerica.com</w:t>
      </w:r>
    </w:p>
    <w:p>
      <w:pPr>
        <w:pStyle w:val="ListBullet"/>
        <w:spacing w:line="480" w:lineRule="auto" w:before="0" w:after="0"/>
      </w:pPr>
      <w:r>
        <w:rPr>
          <w:rFonts w:ascii="Arial" w:hAnsi="Arial"/>
          <w:b w:val="0"/>
          <w:color w:val="000000"/>
          <w:sz w:val="22"/>
          <w:u w:val="none"/>
        </w:rPr>
        <w:t>Franchise: REIT M&amp;A plus gaming and lodging coverage, a combination most banks split</w:t>
      </w:r>
    </w:p>
    <w:p>
      <w:pPr>
        <w:pStyle w:val="ListBullet"/>
        <w:spacing w:line="480" w:lineRule="auto" w:before="0" w:after="0"/>
      </w:pPr>
      <w:r>
        <w:rPr>
          <w:rFonts w:ascii="Arial" w:hAnsi="Arial"/>
          <w:b w:val="0"/>
          <w:color w:val="000000"/>
          <w:sz w:val="22"/>
          <w:u w:val="none"/>
        </w:rPr>
        <w:t>Verified mandate: exclusive advisor to Paramount Group on its $1.6 billion sale to Rithm Capital, announced September 2025</w:t>
      </w:r>
    </w:p>
    <w:p>
      <w:pPr>
        <w:pStyle w:val="ListBullet"/>
        <w:spacing w:line="480" w:lineRule="auto" w:before="0" w:after="0"/>
      </w:pPr>
      <w:r>
        <w:rPr>
          <w:rFonts w:ascii="Arial" w:hAnsi="Arial"/>
          <w:b w:val="0"/>
          <w:color w:val="000000"/>
          <w:sz w:val="22"/>
          <w:u w:val="none"/>
        </w:rPr>
        <w:t>Entry: Investment Banking Summer Analyst with RE group placement</w:t>
      </w:r>
    </w:p>
    <w:p>
      <w:pPr>
        <w:spacing w:line="480" w:lineRule="auto" w:before="0" w:after="0"/>
      </w:pPr>
    </w:p>
    <w:p>
      <w:pPr>
        <w:spacing w:line="480" w:lineRule="auto" w:before="0" w:after="0"/>
      </w:pPr>
      <w:r>
        <w:rPr>
          <w:rFonts w:ascii="Arial" w:hAnsi="Arial"/>
          <w:b w:val="0"/>
          <w:color w:val="000000"/>
          <w:sz w:val="22"/>
          <w:u w:val="none"/>
        </w:rPr>
        <w:t>Gaming and lodging exposure means casino REITs and hotel platforms alongside office and multifamily, the widest asset variety in the BB set.</w:t>
      </w:r>
    </w:p>
    <w:p>
      <w:pPr>
        <w:spacing w:line="480" w:lineRule="auto" w:before="0" w:after="0"/>
      </w:pPr>
    </w:p>
    <w:p>
      <w:pPr>
        <w:spacing w:line="480" w:lineRule="auto" w:before="0" w:after="0"/>
      </w:pPr>
      <w:r>
        <w:rPr>
          <w:rFonts w:ascii="Arial" w:hAnsi="Arial"/>
          <w:b/>
          <w:color w:val="000000"/>
          <w:sz w:val="22"/>
          <w:u w:val="none"/>
        </w:rPr>
        <w:t xml:space="preserve">5. </w:t>
      </w:r>
      <w:hyperlink r:id="rId13">
        <w:r>
          <w:rPr>
            <w:rFonts w:ascii="Arial" w:hAnsi="Arial"/>
            <w:b/>
            <w:sz w:val="22"/>
            <w:color w:val="0563C1"/>
            <w:u w:val="single"/>
          </w:rPr>
          <w:t xml:space="preserve">Citi</w:t>
        </w:r>
      </w:hyperlink>
    </w:p>
    <w:p>
      <w:pPr>
        <w:spacing w:line="480" w:lineRule="auto" w:before="0" w:after="0"/>
      </w:pPr>
    </w:p>
    <w:p>
      <w:pPr>
        <w:spacing w:line="480" w:lineRule="auto" w:before="0" w:after="0"/>
      </w:pPr>
      <w:r>
        <w:rPr>
          <w:rFonts w:ascii="Arial" w:hAnsi="Arial"/>
          <w:b/>
          <w:color w:val="000000"/>
          <w:sz w:val="22"/>
          <w:u w:val="none"/>
        </w:rPr>
        <w:t>Citi advised AIR Communities alone on its $10 billion sale to Blackstone, the largest multifamily take-private on record.</w:t>
      </w:r>
    </w:p>
    <w:p>
      <w:pPr>
        <w:spacing w:line="480" w:lineRule="auto" w:before="0" w:after="0"/>
      </w:pPr>
    </w:p>
    <w:p>
      <w:pPr>
        <w:pStyle w:val="ListBullet"/>
        <w:spacing w:line="480" w:lineRule="auto" w:before="0" w:after="0"/>
      </w:pPr>
      <w:r>
        <w:rPr>
          <w:rFonts w:ascii="Arial" w:hAnsi="Arial"/>
          <w:b w:val="0"/>
          <w:color w:val="000000"/>
          <w:sz w:val="22"/>
          <w:u w:val="none"/>
        </w:rPr>
        <w:t>Website: jobs.citi.com</w:t>
      </w:r>
    </w:p>
    <w:p>
      <w:pPr>
        <w:pStyle w:val="ListBullet"/>
        <w:spacing w:line="480" w:lineRule="auto" w:before="0" w:after="0"/>
      </w:pPr>
      <w:r>
        <w:rPr>
          <w:rFonts w:ascii="Arial" w:hAnsi="Arial"/>
          <w:b w:val="0"/>
          <w:color w:val="000000"/>
          <w:sz w:val="22"/>
          <w:u w:val="none"/>
        </w:rPr>
        <w:t>Franchise: REIT M&amp;A with a recurring top-three league position, including topping the 2023 REIT M&amp;A rankings</w:t>
      </w:r>
    </w:p>
    <w:p>
      <w:pPr>
        <w:pStyle w:val="ListBullet"/>
        <w:spacing w:line="480" w:lineRule="auto" w:before="0" w:after="0"/>
      </w:pPr>
      <w:r>
        <w:rPr>
          <w:rFonts w:ascii="Arial" w:hAnsi="Arial"/>
          <w:b w:val="0"/>
          <w:color w:val="000000"/>
          <w:sz w:val="22"/>
          <w:u w:val="none"/>
        </w:rPr>
        <w:t>Verified mandate: sole financial advisor to AIR Communities, April 2024, while Blackstone's side included Goldman Sachs and Wells Fargo</w:t>
      </w:r>
    </w:p>
    <w:p>
      <w:pPr>
        <w:pStyle w:val="ListBullet"/>
        <w:spacing w:line="480" w:lineRule="auto" w:before="0" w:after="0"/>
      </w:pPr>
      <w:r>
        <w:rPr>
          <w:rFonts w:ascii="Arial" w:hAnsi="Arial"/>
          <w:b w:val="0"/>
          <w:color w:val="000000"/>
          <w:sz w:val="22"/>
          <w:u w:val="none"/>
        </w:rPr>
        <w:t>Entry: Investment Banking Summer Analyst</w:t>
      </w:r>
    </w:p>
    <w:p>
      <w:pPr>
        <w:spacing w:line="480" w:lineRule="auto" w:before="0" w:after="0"/>
      </w:pPr>
    </w:p>
    <w:p>
      <w:pPr>
        <w:spacing w:line="480" w:lineRule="auto" w:before="0" w:after="0"/>
      </w:pPr>
      <w:r>
        <w:rPr>
          <w:rFonts w:ascii="Arial" w:hAnsi="Arial"/>
          <w:b w:val="0"/>
          <w:color w:val="000000"/>
          <w:sz w:val="22"/>
          <w:u w:val="none"/>
        </w:rPr>
        <w:t>Citi's RE franchise wins targets'-side mandates, which is where the analyst learns defense: fairness work, board process, and shareholder math.</w:t>
      </w:r>
    </w:p>
    <w:p>
      <w:pPr>
        <w:spacing w:line="480" w:lineRule="auto" w:before="0" w:after="0"/>
      </w:pPr>
    </w:p>
    <w:p>
      <w:pPr>
        <w:spacing w:line="480" w:lineRule="auto" w:before="0" w:after="0"/>
      </w:pPr>
      <w:r>
        <w:rPr>
          <w:rFonts w:ascii="Arial" w:hAnsi="Arial"/>
          <w:b/>
          <w:color w:val="000000"/>
          <w:sz w:val="22"/>
          <w:u w:val="none"/>
        </w:rPr>
        <w:t xml:space="preserve">6. </w:t>
      </w:r>
      <w:hyperlink r:id="rId14">
        <w:r>
          <w:rPr>
            <w:rFonts w:ascii="Arial" w:hAnsi="Arial"/>
            <w:b/>
            <w:sz w:val="22"/>
            <w:color w:val="0563C1"/>
            <w:u w:val="single"/>
          </w:rPr>
          <w:t xml:space="preserve">Wells Fargo</w:t>
        </w:r>
      </w:hyperlink>
    </w:p>
    <w:p>
      <w:pPr>
        <w:spacing w:line="480" w:lineRule="auto" w:before="0" w:after="0"/>
      </w:pPr>
    </w:p>
    <w:p>
      <w:pPr>
        <w:spacing w:line="480" w:lineRule="auto" w:before="0" w:after="0"/>
      </w:pPr>
      <w:r>
        <w:rPr>
          <w:rFonts w:ascii="Arial" w:hAnsi="Arial"/>
          <w:b/>
          <w:color w:val="000000"/>
          <w:sz w:val="22"/>
          <w:u w:val="none"/>
        </w:rPr>
        <w:t>Wells Fargo is the only bank on this list with a dedicated commercial real estate analyst program, separate from generalist IB.</w:t>
      </w:r>
    </w:p>
    <w:p>
      <w:pPr>
        <w:spacing w:line="480" w:lineRule="auto" w:before="0" w:after="0"/>
      </w:pPr>
    </w:p>
    <w:p>
      <w:pPr>
        <w:pStyle w:val="ListBullet"/>
        <w:spacing w:line="480" w:lineRule="auto" w:before="0" w:after="0"/>
      </w:pPr>
      <w:r>
        <w:rPr>
          <w:rFonts w:ascii="Arial" w:hAnsi="Arial"/>
          <w:b w:val="0"/>
          <w:color w:val="000000"/>
          <w:sz w:val="22"/>
          <w:u w:val="none"/>
        </w:rPr>
        <w:t>Website: wellsfargojobs.com</w:t>
      </w:r>
    </w:p>
    <w:p>
      <w:pPr>
        <w:pStyle w:val="ListBullet"/>
        <w:spacing w:line="480" w:lineRule="auto" w:before="0" w:after="0"/>
      </w:pPr>
      <w:r>
        <w:rPr>
          <w:rFonts w:ascii="Arial" w:hAnsi="Arial"/>
          <w:b w:val="0"/>
          <w:color w:val="000000"/>
          <w:sz w:val="22"/>
          <w:u w:val="none"/>
        </w:rPr>
        <w:t>Franchise: the #2 US commercial real estate lender and self-reported #1 CMBS bookrunner [VERIFY: self-reported rankings]</w:t>
      </w:r>
    </w:p>
    <w:p>
      <w:pPr>
        <w:pStyle w:val="ListBullet"/>
        <w:spacing w:line="480" w:lineRule="auto" w:before="0" w:after="0"/>
      </w:pPr>
      <w:r>
        <w:rPr>
          <w:rFonts w:ascii="Arial" w:hAnsi="Arial"/>
          <w:b w:val="0"/>
          <w:color w:val="000000"/>
          <w:sz w:val="22"/>
          <w:u w:val="none"/>
        </w:rPr>
        <w:t>Verified mandate: bookrunner on the Lineage IPO and part of Blackstone's advisor group on AIR Communities</w:t>
      </w:r>
    </w:p>
    <w:p>
      <w:pPr>
        <w:pStyle w:val="ListBullet"/>
        <w:spacing w:line="480" w:lineRule="auto" w:before="0" w:after="0"/>
      </w:pPr>
      <w:r>
        <w:rPr>
          <w:rFonts w:ascii="Arial" w:hAnsi="Arial"/>
          <w:b w:val="0"/>
          <w:color w:val="000000"/>
          <w:sz w:val="22"/>
          <w:u w:val="none"/>
        </w:rPr>
        <w:t>Entry: CIB Commercial Real Estate Analyst Program with seats in New York, Charlotte, Dallas, and Chicago</w:t>
      </w:r>
    </w:p>
    <w:p>
      <w:pPr>
        <w:spacing w:line="480" w:lineRule="auto" w:before="0" w:after="0"/>
      </w:pPr>
    </w:p>
    <w:p>
      <w:pPr>
        <w:spacing w:line="480" w:lineRule="auto" w:before="0" w:after="0"/>
      </w:pPr>
      <w:r>
        <w:rPr>
          <w:rFonts w:ascii="Arial" w:hAnsi="Arial"/>
          <w:b/>
          <w:color w:val="000000"/>
          <w:sz w:val="22"/>
          <w:u w:val="none"/>
        </w:rPr>
        <w:t>A student who wants real estate credit specifically should rank Wells first, because the dedicated program guarantees the seat instead of gambling on group placement.</w:t>
      </w:r>
    </w:p>
    <w:p>
      <w:pPr>
        <w:spacing w:line="480" w:lineRule="auto" w:before="0" w:after="0"/>
      </w:pPr>
    </w:p>
    <w:p>
      <w:pPr>
        <w:spacing w:line="480" w:lineRule="auto" w:before="0" w:after="0"/>
      </w:pPr>
      <w:r>
        <w:rPr>
          <w:rFonts w:ascii="Arial" w:hAnsi="Arial"/>
          <w:b/>
          <w:color w:val="000000"/>
          <w:sz w:val="22"/>
          <w:u w:val="none"/>
        </w:rPr>
        <w:t xml:space="preserve">7. </w:t>
      </w:r>
      <w:hyperlink r:id="rId15">
        <w:r>
          <w:rPr>
            <w:rFonts w:ascii="Arial" w:hAnsi="Arial"/>
            <w:b/>
            <w:sz w:val="22"/>
            <w:color w:val="0563C1"/>
            <w:u w:val="single"/>
          </w:rPr>
          <w:t xml:space="preserve">JLL Capital Markets</w:t>
        </w:r>
      </w:hyperlink>
    </w:p>
    <w:p>
      <w:pPr>
        <w:spacing w:line="480" w:lineRule="auto" w:before="0" w:after="0"/>
      </w:pPr>
    </w:p>
    <w:p>
      <w:pPr>
        <w:spacing w:line="480" w:lineRule="auto" w:before="0" w:after="0"/>
      </w:pPr>
      <w:r>
        <w:rPr>
          <w:rFonts w:ascii="Arial" w:hAnsi="Arial"/>
          <w:b/>
          <w:color w:val="000000"/>
          <w:sz w:val="22"/>
          <w:u w:val="none"/>
        </w:rPr>
        <w:t>JLL originated $98 billion of commercial real estate debt in 2025, its tenth straight year atop the Mortgage Bankers Association rankings.</w:t>
      </w:r>
    </w:p>
    <w:p>
      <w:pPr>
        <w:spacing w:line="480" w:lineRule="auto" w:before="0" w:after="0"/>
      </w:pPr>
    </w:p>
    <w:p>
      <w:pPr>
        <w:pStyle w:val="ListBullet"/>
        <w:spacing w:line="480" w:lineRule="auto" w:before="0" w:after="0"/>
      </w:pPr>
      <w:r>
        <w:rPr>
          <w:rFonts w:ascii="Arial" w:hAnsi="Arial"/>
          <w:b w:val="0"/>
          <w:color w:val="000000"/>
          <w:sz w:val="22"/>
          <w:u w:val="none"/>
        </w:rPr>
        <w:t>Website: jll.com/careers</w:t>
      </w:r>
    </w:p>
    <w:p>
      <w:pPr>
        <w:pStyle w:val="ListBullet"/>
        <w:spacing w:line="480" w:lineRule="auto" w:before="0" w:after="0"/>
      </w:pPr>
      <w:r>
        <w:rPr>
          <w:rFonts w:ascii="Arial" w:hAnsi="Arial"/>
          <w:b w:val="0"/>
          <w:color w:val="000000"/>
          <w:sz w:val="22"/>
          <w:u w:val="none"/>
        </w:rPr>
        <w:t>Franchise: investment sales plus the largest debt and equity placement platform in the asset lane</w:t>
      </w:r>
    </w:p>
    <w:p>
      <w:pPr>
        <w:pStyle w:val="ListBullet"/>
        <w:spacing w:line="480" w:lineRule="auto" w:before="0" w:after="0"/>
      </w:pPr>
      <w:r>
        <w:rPr>
          <w:rFonts w:ascii="Arial" w:hAnsi="Arial"/>
          <w:b w:val="0"/>
          <w:color w:val="000000"/>
          <w:sz w:val="22"/>
          <w:u w:val="none"/>
        </w:rPr>
        <w:t>Scale: 2,204 loan originations in 2025, up 32 percent year over year</w:t>
      </w:r>
    </w:p>
    <w:p>
      <w:pPr>
        <w:pStyle w:val="ListBullet"/>
        <w:spacing w:line="480" w:lineRule="auto" w:before="0" w:after="0"/>
      </w:pPr>
      <w:r>
        <w:rPr>
          <w:rFonts w:ascii="Arial" w:hAnsi="Arial"/>
          <w:b w:val="0"/>
          <w:color w:val="000000"/>
          <w:sz w:val="22"/>
          <w:u w:val="none"/>
        </w:rPr>
        <w:t>Entry: city-based capital markets analyst hiring rather than one national program</w:t>
      </w:r>
    </w:p>
    <w:p>
      <w:pPr>
        <w:spacing w:line="480" w:lineRule="auto" w:before="0" w:after="0"/>
      </w:pPr>
    </w:p>
    <w:p>
      <w:pPr>
        <w:spacing w:line="480" w:lineRule="auto" w:before="0" w:after="0"/>
      </w:pPr>
      <w:r>
        <w:rPr>
          <w:rFonts w:ascii="Arial" w:hAnsi="Arial"/>
          <w:b w:val="0"/>
          <w:color w:val="000000"/>
          <w:sz w:val="22"/>
          <w:u w:val="none"/>
        </w:rPr>
        <w:t>Asset-lane analysts underwrite specific towers and portfolios weekly. Faster reps, narrower product, and comp that trails bank IB with commission upside later [VERIFY: comp patterns, self-reported].</w:t>
      </w:r>
    </w:p>
    <w:p>
      <w:pPr>
        <w:spacing w:line="480" w:lineRule="auto" w:before="0" w:after="0"/>
      </w:pPr>
    </w:p>
    <w:p>
      <w:pPr>
        <w:spacing w:line="480" w:lineRule="auto" w:before="0" w:after="0"/>
      </w:pPr>
      <w:r>
        <w:rPr>
          <w:rFonts w:ascii="Arial" w:hAnsi="Arial"/>
          <w:b/>
          <w:color w:val="000000"/>
          <w:sz w:val="22"/>
          <w:u w:val="none"/>
        </w:rPr>
        <w:t xml:space="preserve">8. </w:t>
      </w:r>
      <w:hyperlink r:id="rId16">
        <w:r>
          <w:rPr>
            <w:rFonts w:ascii="Arial" w:hAnsi="Arial"/>
            <w:b/>
            <w:sz w:val="22"/>
            <w:color w:val="0563C1"/>
            <w:u w:val="single"/>
          </w:rPr>
          <w:t xml:space="preserve">Newmark</w:t>
        </w:r>
      </w:hyperlink>
    </w:p>
    <w:p>
      <w:pPr>
        <w:spacing w:line="480" w:lineRule="auto" w:before="0" w:after="0"/>
      </w:pPr>
    </w:p>
    <w:p>
      <w:pPr>
        <w:spacing w:line="480" w:lineRule="auto" w:before="0" w:after="0"/>
      </w:pPr>
      <w:r>
        <w:rPr>
          <w:rFonts w:ascii="Arial" w:hAnsi="Arial"/>
          <w:b/>
          <w:color w:val="000000"/>
          <w:sz w:val="22"/>
          <w:u w:val="none"/>
        </w:rPr>
        <w:t>Newmark built the fastest-growing capital markets platform in the industry by hiring the people who ran Eastdil's biggest deals.</w:t>
      </w:r>
    </w:p>
    <w:p>
      <w:pPr>
        <w:spacing w:line="480" w:lineRule="auto" w:before="0" w:after="0"/>
      </w:pPr>
    </w:p>
    <w:p>
      <w:pPr>
        <w:pStyle w:val="ListBullet"/>
        <w:spacing w:line="480" w:lineRule="auto" w:before="0" w:after="0"/>
      </w:pPr>
      <w:r>
        <w:rPr>
          <w:rFonts w:ascii="Arial" w:hAnsi="Arial"/>
          <w:b w:val="0"/>
          <w:color w:val="000000"/>
          <w:sz w:val="22"/>
          <w:u w:val="none"/>
        </w:rPr>
        <w:t>Website: nmrk.com/careers</w:t>
      </w:r>
    </w:p>
    <w:p>
      <w:pPr>
        <w:pStyle w:val="ListBullet"/>
        <w:spacing w:line="480" w:lineRule="auto" w:before="0" w:after="0"/>
      </w:pPr>
      <w:r>
        <w:rPr>
          <w:rFonts w:ascii="Arial" w:hAnsi="Arial"/>
          <w:b w:val="0"/>
          <w:color w:val="000000"/>
          <w:sz w:val="22"/>
          <w:u w:val="none"/>
        </w:rPr>
        <w:t>Franchise: investment sales ($70.4 billion in 2025) plus a growing REIT M&amp;A advisory practice</w:t>
      </w:r>
    </w:p>
    <w:p>
      <w:pPr>
        <w:pStyle w:val="ListBullet"/>
        <w:spacing w:line="480" w:lineRule="auto" w:before="0" w:after="0"/>
      </w:pPr>
      <w:r>
        <w:rPr>
          <w:rFonts w:ascii="Arial" w:hAnsi="Arial"/>
          <w:b w:val="0"/>
          <w:color w:val="000000"/>
          <w:sz w:val="22"/>
          <w:u w:val="none"/>
        </w:rPr>
        <w:t>Verified mandate: real estate advisor on both the ROIC and Rithm-Paramount transactions</w:t>
      </w:r>
    </w:p>
    <w:p>
      <w:pPr>
        <w:pStyle w:val="ListBullet"/>
        <w:spacing w:line="480" w:lineRule="auto" w:before="0" w:after="0"/>
      </w:pPr>
      <w:r>
        <w:rPr>
          <w:rFonts w:ascii="Arial" w:hAnsi="Arial"/>
          <w:b w:val="0"/>
          <w:color w:val="000000"/>
          <w:sz w:val="22"/>
          <w:u w:val="none"/>
        </w:rPr>
        <w:t>Signature move: landed Doug Harmon and Adam Spies, the top New York capital markets duo, from Cushman &amp; Wakefield in 2023</w:t>
      </w:r>
    </w:p>
    <w:p>
      <w:pPr>
        <w:pStyle w:val="ListBullet"/>
        <w:spacing w:line="480" w:lineRule="auto" w:before="0" w:after="0"/>
      </w:pPr>
      <w:r>
        <w:rPr>
          <w:rFonts w:ascii="Arial" w:hAnsi="Arial"/>
          <w:b w:val="0"/>
          <w:color w:val="000000"/>
          <w:sz w:val="22"/>
          <w:u w:val="none"/>
        </w:rPr>
        <w:t>Entry: analyst hiring by office and team</w:t>
      </w:r>
    </w:p>
    <w:p>
      <w:pPr>
        <w:spacing w:line="480" w:lineRule="auto" w:before="0" w:after="0"/>
      </w:pPr>
    </w:p>
    <w:p>
      <w:pPr>
        <w:spacing w:line="480" w:lineRule="auto" w:before="0" w:after="0"/>
      </w:pPr>
      <w:r>
        <w:rPr>
          <w:rFonts w:ascii="Arial" w:hAnsi="Arial"/>
          <w:b w:val="0"/>
          <w:color w:val="000000"/>
          <w:sz w:val="22"/>
          <w:u w:val="none"/>
        </w:rPr>
        <w:t>Newmark now shows up in REIT M&amp;A league credit alongside the banks, a lane crossing almost no brokerage manages.</w:t>
      </w:r>
    </w:p>
    <w:p>
      <w:pPr>
        <w:spacing w:line="480" w:lineRule="auto" w:before="0" w:after="0"/>
      </w:pPr>
    </w:p>
    <w:p>
      <w:pPr>
        <w:pStyle w:val="Heading2"/>
        <w:spacing w:line="480" w:lineRule="auto" w:before="0" w:after="0"/>
      </w:pPr>
      <w:r>
        <w:rPr>
          <w:rFonts w:ascii="Arial" w:hAnsi="Arial"/>
          <w:b/>
          <w:color w:val="000000"/>
          <w:sz w:val="36"/>
          <w:u w:val="none"/>
        </w:rPr>
        <w:t>Pay, hours, and the trade between the lanes</w:t>
      </w:r>
    </w:p>
    <w:p>
      <w:pPr>
        <w:spacing w:line="480" w:lineRule="auto" w:before="0" w:after="0"/>
      </w:pPr>
      <w:r>
        <w:rPr>
          <w:rFonts w:ascii="Arial" w:hAnsi="Arial"/>
          <w:b w:val="0"/>
          <w:color w:val="000000"/>
          <w:sz w:val="22"/>
          <w:u w:val="none"/>
        </w:rPr>
        <w:t>Comp splits cleanly by lane. Bank RE groups and Eastdil pay street-standard IB packages, with recent first-year bases reported around $110,000 to $125,000 plus bonus, and candidate threads put Eastdil at or slightly above street [VERIFY: self-reported comp data]. Asset-lane platforms start analysts lower, with the upside arriving later through production and commission economics as you move toward broker seats.</w:t>
      </w:r>
    </w:p>
    <w:p>
      <w:pPr>
        <w:spacing w:line="480" w:lineRule="auto" w:before="0" w:after="0"/>
      </w:pPr>
    </w:p>
    <w:p>
      <w:pPr>
        <w:spacing w:line="480" w:lineRule="auto" w:before="0" w:after="0"/>
      </w:pPr>
      <w:r>
        <w:rPr>
          <w:rFonts w:ascii="Arial" w:hAnsi="Arial"/>
          <w:b w:val="0"/>
          <w:color w:val="000000"/>
          <w:sz w:val="22"/>
          <w:u w:val="none"/>
        </w:rPr>
        <w:t>The experience trade matters more than the pay gap at 22. A REIT M&amp;A analyst at Citi models one company for months and learns board-level process. A JLL debt analyst underwrites a new building most weeks and knows fifteen lenders' appetites by heart within a year. Buy-side real estate shops, the REPE funds and debt funds most students eventually want, hire happily from both lanes.</w:t>
      </w:r>
    </w:p>
    <w:p>
      <w:pPr>
        <w:spacing w:line="480" w:lineRule="auto" w:before="0" w:after="0"/>
      </w:pPr>
    </w:p>
    <w:p>
      <w:pPr>
        <w:spacing w:line="480" w:lineRule="auto" w:before="0" w:after="0"/>
      </w:pPr>
      <w:r>
        <w:rPr>
          <w:rFonts w:ascii="Arial" w:hAnsi="Arial"/>
          <w:b w:val="0"/>
          <w:color w:val="000000"/>
          <w:sz w:val="22"/>
          <w:u w:val="none"/>
        </w:rPr>
        <w:t>Exit patterns back that up. Blackstone Real Estate, Starwood, and the REIT corporate development desks recruit bank RE analysts on the standard buy-side calendar, while acquisition teams at operators and debt funds pull steadily from the asset-lane platforms. Neither lane closes the other's doors; they just sequence differently.</w:t>
      </w:r>
    </w:p>
    <w:p>
      <w:pPr>
        <w:spacing w:line="480" w:lineRule="auto" w:before="0" w:after="0"/>
      </w:pPr>
    </w:p>
    <w:p>
      <w:pPr>
        <w:pStyle w:val="Heading2"/>
        <w:spacing w:line="480" w:lineRule="auto" w:before="0" w:after="0"/>
      </w:pPr>
      <w:r>
        <w:rPr>
          <w:rFonts w:ascii="Arial" w:hAnsi="Arial"/>
          <w:b/>
          <w:color w:val="000000"/>
          <w:sz w:val="36"/>
          <w:u w:val="none"/>
        </w:rPr>
        <w:t>What about the firms not on this list?</w:t>
      </w:r>
    </w:p>
    <w:p>
      <w:pPr>
        <w:spacing w:line="480" w:lineRule="auto" w:before="0" w:after="0"/>
      </w:pPr>
      <w:r>
        <w:rPr>
          <w:rFonts w:ascii="Arial" w:hAnsi="Arial"/>
          <w:b w:val="0"/>
          <w:color w:val="000000"/>
          <w:sz w:val="22"/>
          <w:u w:val="none"/>
        </w:rPr>
        <w:t>Goldman Sachs runs a real real estate franchise, advising Blackstone on AIR Communities among others, but its RE deal flow is episodic next to the six banks above, and entry is the same generalist SA funnel. CBRE is the #1 investment sales brokerage for 20 consecutive years with a 13.3 percent 2025 share, and its Capital Advisors arm co-ran the Lineage IPO, but most CBRE analyst seats sit closer to brokerage than banking. Walker &amp; Dunlop and Berkadia dominate agency lending for multifamily, the right first seat for a student targeting that asset class. And Houlihan Lokey plus Moelis touch real estate mainly through restructuring, which our restructuring banks guide covers.</w:t>
      </w:r>
    </w:p>
    <w:p>
      <w:pPr>
        <w:spacing w:line="480" w:lineRule="auto" w:before="0" w:after="0"/>
      </w:pPr>
    </w:p>
    <w:p>
      <w:pPr>
        <w:pStyle w:val="Heading2"/>
        <w:spacing w:line="480" w:lineRule="auto" w:before="0" w:after="0"/>
      </w:pPr>
      <w:r>
        <w:rPr>
          <w:rFonts w:ascii="Arial" w:hAnsi="Arial"/>
          <w:b/>
          <w:color w:val="000000"/>
          <w:sz w:val="36"/>
          <w:u w:val="none"/>
        </w:rPr>
        <w:t>How to actually break in</w:t>
      </w:r>
    </w:p>
    <w:p>
      <w:pPr>
        <w:spacing w:line="480" w:lineRule="auto" w:before="0" w:after="0"/>
      </w:pPr>
      <w:r>
        <w:rPr>
          <w:rFonts w:ascii="Arial" w:hAnsi="Arial"/>
          <w:b w:val="0"/>
          <w:color w:val="000000"/>
          <w:sz w:val="22"/>
          <w:u w:val="none"/>
        </w:rPr>
        <w:t>Two honest paths. For the corporate lane, win a generalist Investment Banking Summer Analyst seat and fight for RE group placement, or target Eastdil's dedicated program directly. For the asset lane, apply to JLL, Newmark, and Wells Fargo's CRE program, where real estate conviction beats general polish in interviews.</w:t>
      </w:r>
    </w:p>
    <w:p>
      <w:pPr>
        <w:spacing w:line="480" w:lineRule="auto" w:before="0" w:after="0"/>
      </w:pPr>
    </w:p>
    <w:p>
      <w:pPr>
        <w:spacing w:line="480" w:lineRule="auto" w:before="0" w:after="0"/>
      </w:pPr>
      <w:r>
        <w:rPr>
          <w:rFonts w:ascii="Arial" w:hAnsi="Arial"/>
          <w:b w:val="0"/>
          <w:color w:val="000000"/>
          <w:sz w:val="22"/>
          <w:u w:val="none"/>
        </w:rPr>
        <w:t>Applications for Summer 2027 open now through fall 2026 [VERIFY: firm timelines], and interviews reward one specific: name a building. A candidate who can walk through why the Lineage IPO priced where it did, or what cap rate the AIR deal implied, has separated from every applicant reciting "I find real assets tangible." The asset class is public. Study an actual asset.</w:t>
      </w:r>
    </w:p>
    <w:p>
      <w:pPr>
        <w:spacing w:line="480" w:lineRule="auto" w:before="0" w:after="0"/>
      </w:pPr>
    </w:p>
    <w:p>
      <w:pPr>
        <w:spacing w:line="480" w:lineRule="auto" w:before="0" w:after="0"/>
      </w:pPr>
      <w:r>
        <w:rPr>
          <w:rFonts w:ascii="Arial" w:hAnsi="Arial"/>
          <w:b w:val="0"/>
          <w:color w:val="000000"/>
          <w:sz w:val="22"/>
          <w:u w:val="none"/>
        </w:rPr>
        <w:t>One more edge for the motivated: the sector's data is unusually open. REIT filings publish property-level detail no industrial company would ever disclose, so a sophomore can practice real underwriting with nothing but an annual report and patience. Pick one REIT, read the supplemental, and walk into every coffee chat able to talk about its portfolio like an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astdilsecured.com/student-recent-college-graduate-programs/" TargetMode="External"/><Relationship Id="rId10" Type="http://schemas.openxmlformats.org/officeDocument/2006/relationships/hyperlink" Target="https://www.morganstanley.com/careers" TargetMode="External"/><Relationship Id="rId11" Type="http://schemas.openxmlformats.org/officeDocument/2006/relationships/hyperlink" Target="https://careers.jpmorgan.com/us/en/students" TargetMode="External"/><Relationship Id="rId12" Type="http://schemas.openxmlformats.org/officeDocument/2006/relationships/hyperlink" Target="https://careers.bankofamerica.com/en-us/students" TargetMode="External"/><Relationship Id="rId13" Type="http://schemas.openxmlformats.org/officeDocument/2006/relationships/hyperlink" Target="https://jobs.citi.com" TargetMode="External"/><Relationship Id="rId14" Type="http://schemas.openxmlformats.org/officeDocument/2006/relationships/hyperlink" Target="https://www.wellsfargojobs.com/en/early-careers/" TargetMode="External"/><Relationship Id="rId15" Type="http://schemas.openxmlformats.org/officeDocument/2006/relationships/hyperlink" Target="https://www.jll.com/en-us/careers" TargetMode="External"/><Relationship Id="rId16" Type="http://schemas.openxmlformats.org/officeDocument/2006/relationships/hyperlink" Target="https://www.nmrk.com/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