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Ultimate Guide to the Market Entry Framework</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market entry framework: the four-part structure, the math, and the go-to-market step most candidates skip.</w:t>
      </w:r>
    </w:p>
    <w:p>
      <w:pPr>
        <w:spacing w:line="480" w:lineRule="auto" w:before="0" w:after="0"/>
      </w:pPr>
      <w:r>
        <w:rPr>
          <w:rFonts w:ascii="Arial" w:hAnsi="Arial" w:cs="Arial" w:eastAsia="Arial"/>
          <w:b w:val="0"/>
          <w:color w:val="000000"/>
          <w:sz w:val="22"/>
          <w:u w:val="none"/>
        </w:rPr>
        <w:t xml:space="preserve">Market entry is one of the five case types every consulting interview draws from, and it's the one where memorized frameworks fail most visibly. The question sounds simple: "Should our client enter this market?" Most candidates recite a checklist and answer yes. </w:t>
      </w:r>
      <w:r>
        <w:rPr>
          <w:rFonts w:ascii="Arial" w:hAnsi="Arial" w:cs="Arial" w:eastAsia="Arial"/>
          <w:b/>
          <w:color w:val="000000"/>
          <w:sz w:val="22"/>
          <w:u w:val="none"/>
        </w:rPr>
        <w:t>Interviewers pass the candidates who treat market entry as an investment decision with a number attached, not a strategy essay.</w:t>
      </w:r>
    </w:p>
    <w:p>
      <w:pPr>
        <w:spacing w:line="480" w:lineRule="auto" w:before="0" w:after="0"/>
      </w:pPr>
      <w:r>
        <w:rPr>
          <w:rFonts w:ascii="Arial" w:hAnsi="Arial" w:cs="Arial" w:eastAsia="Arial"/>
          <w:b w:val="0"/>
          <w:color w:val="000000"/>
          <w:sz w:val="22"/>
          <w:u w:val="none"/>
        </w:rPr>
        <w:t>I went through McKinsey's on-cycle recruiting myself, and market entry was the case type I drew in my final round. This guide covers the four-part market entry framework, the math the case always ends with, and the go-to-market question that separates first-round passes from offers.</w:t>
      </w:r>
    </w:p>
    <w:p>
      <w:pPr>
        <w:spacing w:line="480" w:lineRule="auto" w:before="0" w:after="0"/>
      </w:pPr>
      <w:r>
        <w:rPr>
          <w:rFonts w:ascii="Arial" w:hAnsi="Arial" w:cs="Arial" w:eastAsia="Arial"/>
          <w:b/>
          <w:color w:val="000000"/>
          <w:sz w:val="36"/>
          <w:u w:val="none"/>
        </w:rPr>
        <w:t>What is the market entry framework?</w:t>
      </w:r>
    </w:p>
    <w:p>
      <w:pPr>
        <w:spacing w:line="480" w:lineRule="auto" w:before="0" w:after="0"/>
      </w:pPr>
      <w:r>
        <w:rPr>
          <w:rFonts w:ascii="Arial" w:hAnsi="Arial" w:cs="Arial" w:eastAsia="Arial"/>
          <w:b w:val="0"/>
          <w:color w:val="000000"/>
          <w:sz w:val="22"/>
          <w:u w:val="none"/>
        </w:rPr>
        <w:t>The market entry framework is a four-part structure for deciding whether a company should enter a new market, geography, or product line. The four parts: market attractiveness (is the market worth entering?), capability fit (can our client win there?), financial case (do the numbers work?), and risks with exit options (what kills this, and how do we get out?). Every credible market entry answer covers all four, in roughly that order.</w:t>
      </w:r>
    </w:p>
    <w:p>
      <w:pPr>
        <w:spacing w:line="480" w:lineRule="auto" w:before="0" w:after="0"/>
      </w:pPr>
      <w:r>
        <w:rPr>
          <w:rFonts w:ascii="Arial" w:hAnsi="Arial" w:cs="Arial" w:eastAsia="Arial"/>
          <w:b/>
          <w:color w:val="000000"/>
          <w:sz w:val="36"/>
          <w:u w:val="none"/>
        </w:rPr>
        <w:t>When do you use a market entry framework in a case interview?</w:t>
      </w:r>
    </w:p>
    <w:p>
      <w:pPr>
        <w:spacing w:line="480" w:lineRule="auto" w:before="0" w:after="0"/>
      </w:pPr>
      <w:r>
        <w:rPr>
          <w:rFonts w:ascii="Arial" w:hAnsi="Arial" w:cs="Arial" w:eastAsia="Arial"/>
          <w:b w:val="0"/>
          <w:color w:val="000000"/>
          <w:sz w:val="22"/>
          <w:u w:val="none"/>
        </w:rPr>
        <w:t>Use it whenever the prompt asks about entering something new: a geography ("should our German client enter the US?"), a product line ("should this soda company launch energy drinks?"), or a customer segment ("should this B2B software firm sell to consumers?"). M&amp;A cases sometimes hide a market entry case inside them, because acquiring a company is one way to enter a market. Spot the entry decision and structure for it.</w:t>
      </w:r>
    </w:p>
    <w:p>
      <w:pPr>
        <w:spacing w:line="480" w:lineRule="auto" w:before="0" w:after="0"/>
      </w:pPr>
      <w:r>
        <w:rPr>
          <w:rFonts w:ascii="Arial" w:hAnsi="Arial" w:cs="Arial" w:eastAsia="Arial"/>
          <w:b/>
          <w:color w:val="000000"/>
          <w:sz w:val="28"/>
          <w:u w:val="single"/>
        </w:rPr>
        <w:t>1. Open with the 4Cs, then throw the checklist away</w:t>
      </w:r>
    </w:p>
    <w:p>
      <w:pPr>
        <w:spacing w:line="480" w:lineRule="auto" w:before="0" w:after="0"/>
      </w:pPr>
      <w:r>
        <w:rPr>
          <w:rFonts w:ascii="Arial" w:hAnsi="Arial" w:cs="Arial" w:eastAsia="Arial"/>
          <w:b w:val="0"/>
          <w:color w:val="000000"/>
          <w:sz w:val="22"/>
          <w:u w:val="none"/>
        </w:rPr>
        <w:t>The first 30 seconds of a market entry case reward breadth. The 4Cs (Customer, Competitor, Company, Context) are a fast scan to make sure your structure doesn't have a hole in it: who buys in this market, who already serves them, what our client brings, and what's changing in the environment.</w:t>
      </w:r>
    </w:p>
    <w:p>
      <w:pPr>
        <w:spacing w:line="480" w:lineRule="auto" w:before="0" w:after="0"/>
      </w:pPr>
      <w:r>
        <w:rPr>
          <w:rFonts w:ascii="Arial" w:hAnsi="Arial" w:cs="Arial" w:eastAsia="Arial"/>
          <w:b w:val="0"/>
          <w:color w:val="000000"/>
          <w:sz w:val="22"/>
          <w:u w:val="none"/>
        </w:rPr>
        <w:t xml:space="preserve">Then stop using it. The 4Cs are a preflight checklist, not a framework you "apply" for 25 minutes. </w:t>
      </w:r>
      <w:r>
        <w:rPr>
          <w:rFonts w:ascii="Arial" w:hAnsi="Arial" w:cs="Arial" w:eastAsia="Arial"/>
          <w:b/>
          <w:color w:val="000000"/>
          <w:sz w:val="22"/>
          <w:u w:val="none"/>
        </w:rPr>
        <w:t>Candidates who narrate the 4Cs as their entire structure signal they've memorized a list, and candidates who use it to build a custom structure signal they can think.</w:t>
      </w:r>
      <w:r>
        <w:rPr>
          <w:rFonts w:ascii="Arial" w:hAnsi="Arial" w:cs="Arial" w:eastAsia="Arial"/>
          <w:b w:val="0"/>
          <w:color w:val="000000"/>
          <w:sz w:val="22"/>
          <w:u w:val="none"/>
        </w:rPr>
        <w:t xml:space="preserve"> After the scan, commit to the four-part structure: attractiveness, capability fit, financials, risks.</w:t>
      </w:r>
    </w:p>
    <w:p>
      <w:pPr>
        <w:spacing w:line="480" w:lineRule="auto" w:before="0" w:after="0"/>
      </w:pPr>
      <w:r>
        <w:rPr>
          <w:rFonts w:ascii="Arial" w:hAnsi="Arial" w:cs="Arial" w:eastAsia="Arial"/>
          <w:b w:val="0"/>
          <w:color w:val="000000"/>
          <w:sz w:val="22"/>
          <w:u w:val="none"/>
        </w:rPr>
        <w:t>One more thing on structure. Say it in one breath at the start: "I'd want to know if this market is attractive, whether our client can win in it, whether the economics justify the investment, and what risks would change my answer." That sentence is the whole framework. Everything after it is depth.</w:t>
      </w:r>
    </w:p>
    <w:p>
      <w:pPr>
        <w:spacing w:line="480" w:lineRule="auto" w:before="0" w:after="0"/>
      </w:pPr>
      <w:r>
        <w:rPr>
          <w:rFonts w:ascii="Arial" w:hAnsi="Arial" w:cs="Arial" w:eastAsia="Arial"/>
          <w:b/>
          <w:color w:val="000000"/>
          <w:sz w:val="28"/>
          <w:u w:val="single"/>
        </w:rPr>
        <w:t>2. Size the market before you praise it</w:t>
      </w:r>
    </w:p>
    <w:p>
      <w:pPr>
        <w:spacing w:line="480" w:lineRule="auto" w:before="0" w:after="0"/>
      </w:pPr>
      <w:r>
        <w:rPr>
          <w:rFonts w:ascii="Arial" w:hAnsi="Arial" w:cs="Arial" w:eastAsia="Arial"/>
          <w:b w:val="0"/>
          <w:color w:val="000000"/>
          <w:sz w:val="22"/>
          <w:u w:val="none"/>
        </w:rPr>
        <w:t>Market attractiveness starts with a number, not an adjective. Size the market top-down or bottom-up, exactly like a standalone market sizing question, then layer on growth rate, margin profile, and competitive intensity.</w:t>
      </w:r>
    </w:p>
    <w:p>
      <w:pPr>
        <w:spacing w:line="480" w:lineRule="auto" w:before="0" w:after="0"/>
      </w:pPr>
      <w:r>
        <w:rPr>
          <w:rFonts w:ascii="Arial" w:hAnsi="Arial" w:cs="Arial" w:eastAsia="Arial"/>
          <w:b w:val="0"/>
          <w:color w:val="000000"/>
          <w:sz w:val="22"/>
          <w:u w:val="none"/>
        </w:rPr>
        <w:t>Suppose the case is a European grocery chain entering US meal kits. Don't say "meal kits are a growing market." Say "roughly 130 million US households, maybe 5% would subscribe at any time, at $60 a week that's 6.5 million x $3,000 a year, so a market near $20 billion at full penetration, realistically a few billion today." Now the interviewer knows you can put a boundary on the opportunity.</w:t>
      </w:r>
    </w:p>
    <w:p>
      <w:pPr>
        <w:spacing w:line="480" w:lineRule="auto" w:before="0" w:after="0"/>
      </w:pPr>
      <w:r>
        <w:rPr>
          <w:rFonts w:ascii="Arial" w:hAnsi="Arial" w:cs="Arial" w:eastAsia="Arial"/>
          <w:b w:val="0"/>
          <w:color w:val="000000"/>
          <w:sz w:val="22"/>
          <w:u w:val="none"/>
        </w:rPr>
        <w:t xml:space="preserve">Three attractiveness tests matter beyond size. Growth: a $2B market growing 15% a year beats a $10B market shrinking 3%. Margins: check whether incumbents actually make money, because some large markets (airlines for most of their history) destroy capital. Concentration: two incumbents with 80% share is a different fight than a fragmented field. </w:t>
      </w:r>
      <w:r>
        <w:rPr>
          <w:rFonts w:ascii="Arial" w:hAnsi="Arial" w:cs="Arial" w:eastAsia="Arial"/>
          <w:b/>
          <w:color w:val="000000"/>
          <w:sz w:val="22"/>
          <w:u w:val="none"/>
        </w:rPr>
        <w:t>A market is attractive when it's large enough to matter, growing, profitable for incumbents, and not locked up by two players.</w:t>
      </w:r>
    </w:p>
    <w:p>
      <w:pPr>
        <w:spacing w:line="480" w:lineRule="auto" w:before="0" w:after="0"/>
      </w:pPr>
      <w:r>
        <w:rPr>
          <w:rFonts w:ascii="Arial" w:hAnsi="Arial" w:cs="Arial" w:eastAsia="Arial"/>
          <w:b/>
          <w:color w:val="000000"/>
          <w:sz w:val="28"/>
          <w:u w:val="single"/>
        </w:rPr>
        <w:t>3. "Can we win?" is a question about assets, not ambition</w:t>
      </w:r>
    </w:p>
    <w:p>
      <w:pPr>
        <w:spacing w:line="480" w:lineRule="auto" w:before="0" w:after="0"/>
      </w:pPr>
      <w:r>
        <w:rPr>
          <w:rFonts w:ascii="Arial" w:hAnsi="Arial" w:cs="Arial" w:eastAsia="Arial"/>
          <w:b w:val="0"/>
          <w:color w:val="000000"/>
          <w:sz w:val="22"/>
          <w:u w:val="none"/>
        </w:rPr>
        <w:t>Capability fit is where most candidates go soft. The honest question: what does it take to win in this market, and does our client have it?</w:t>
      </w:r>
    </w:p>
    <w:p>
      <w:pPr>
        <w:spacing w:line="480" w:lineRule="auto" w:before="0" w:after="0"/>
      </w:pPr>
      <w:r>
        <w:rPr>
          <w:rFonts w:ascii="Arial" w:hAnsi="Arial" w:cs="Arial" w:eastAsia="Arial"/>
          <w:b w:val="0"/>
          <w:color w:val="000000"/>
          <w:sz w:val="22"/>
          <w:u w:val="none"/>
        </w:rPr>
        <w:t>Break "what it takes to win" into the two or three factors that actually decide share in this market: brand, distribution, cost position, technology, regulatory licenses, local relationships. Then map the client's assets against each. A soda company entering energy drinks brings bottling, shelf relationships, and marketing muscle: strong fit. The same company entering pharmaceuticals brings almost nothing that matters: weak fit, regardless of how attractive pharma margins look.</w:t>
      </w:r>
    </w:p>
    <w:p>
      <w:pPr>
        <w:spacing w:line="480" w:lineRule="auto" w:before="0" w:after="0"/>
      </w:pPr>
      <w:r>
        <w:rPr>
          <w:rFonts w:ascii="Arial" w:hAnsi="Arial" w:cs="Arial" w:eastAsia="Arial"/>
          <w:b/>
          <w:color w:val="000000"/>
          <w:sz w:val="22"/>
          <w:u w:val="none"/>
        </w:rPr>
        <w:t>The capability answer that impresses interviewers names the one asset the client lacks and the cheapest way to get it.</w:t>
      </w:r>
      <w:r>
        <w:rPr>
          <w:rFonts w:ascii="Arial" w:hAnsi="Arial" w:cs="Arial" w:eastAsia="Arial"/>
          <w:b w:val="0"/>
          <w:color w:val="000000"/>
          <w:sz w:val="22"/>
          <w:u w:val="none"/>
        </w:rPr>
        <w:t xml:space="preserve"> When I was at McKinsey, a healthcare market entry engagement I worked on turned entirely on this point: the client had the product and the capital, but no relationships with the hospital systems that controlled purchasing, and the entire recommendation became about acquiring a small firm that had them.</w:t>
      </w:r>
    </w:p>
    <w:p>
      <w:pPr>
        <w:spacing w:line="480" w:lineRule="auto" w:before="0" w:after="0"/>
      </w:pPr>
      <w:r>
        <w:rPr>
          <w:rFonts w:ascii="Arial" w:hAnsi="Arial" w:cs="Arial" w:eastAsia="Arial"/>
          <w:b/>
          <w:color w:val="000000"/>
          <w:sz w:val="28"/>
          <w:u w:val="single"/>
        </w:rPr>
        <w:t>4. The financial case is an investment decision, so treat it like one</w:t>
      </w:r>
    </w:p>
    <w:p>
      <w:pPr>
        <w:spacing w:line="480" w:lineRule="auto" w:before="0" w:after="0"/>
      </w:pPr>
      <w:r>
        <w:rPr>
          <w:rFonts w:ascii="Arial" w:hAnsi="Arial" w:cs="Arial" w:eastAsia="Arial"/>
          <w:b w:val="0"/>
          <w:color w:val="000000"/>
          <w:sz w:val="22"/>
          <w:u w:val="none"/>
        </w:rPr>
        <w:t>Every market entry case ends in math, usually breakeven. Learn this pattern cold.</w:t>
      </w:r>
    </w:p>
    <w:p>
      <w:pPr>
        <w:spacing w:line="480" w:lineRule="auto" w:before="0" w:after="0"/>
      </w:pPr>
      <w:r>
        <w:rPr>
          <w:rFonts w:ascii="Arial" w:hAnsi="Arial" w:cs="Arial" w:eastAsia="Arial"/>
          <w:b w:val="0"/>
          <w:color w:val="000000"/>
          <w:sz w:val="22"/>
          <w:u w:val="none"/>
        </w:rPr>
        <w:t>The interviewer gives you an investment (say $100M to enter), a price, a unit margin, and some market data. The move: compute annual profit at a plausible share, then divide investment by annual profit to get payback in years.</w:t>
      </w:r>
    </w:p>
    <w:p>
      <w:pPr>
        <w:spacing w:line="480" w:lineRule="auto" w:before="0" w:after="0"/>
      </w:pPr>
      <w:r>
        <w:rPr>
          <w:rFonts w:ascii="Arial" w:hAnsi="Arial" w:cs="Arial" w:eastAsia="Arial"/>
          <w:b w:val="0"/>
          <w:color w:val="000000"/>
          <w:sz w:val="22"/>
          <w:u w:val="none"/>
        </w:rPr>
        <w:t xml:space="preserve">Worked example. Entering costs $100M. The market is 10 million units a year. The client expects 10% share, so 1 million units. Contribution margin is $25 per unit, so $25M a year, minus $10M of new fixed costs leaves $15M of annual profit. Payback is $100M / $15M, roughly 7 years. Now judge it: a 7-year payback is long for a consumer product, fine for infrastructure. </w:t>
      </w:r>
      <w:r>
        <w:rPr>
          <w:rFonts w:ascii="Arial" w:hAnsi="Arial" w:cs="Arial" w:eastAsia="Arial"/>
          <w:b/>
          <w:color w:val="000000"/>
          <w:sz w:val="22"/>
          <w:u w:val="none"/>
        </w:rPr>
        <w:t>Always convert the breakeven number into a verdict, because "6.7 years" is arithmetic and "too slow for this category, here's what would shorten it" is consulting.</w:t>
      </w:r>
    </w:p>
    <w:p>
      <w:pPr>
        <w:spacing w:line="480" w:lineRule="auto" w:before="0" w:after="0"/>
      </w:pPr>
      <w:r>
        <w:rPr>
          <w:rFonts w:ascii="Arial" w:hAnsi="Arial" w:cs="Arial" w:eastAsia="Arial"/>
          <w:b w:val="0"/>
          <w:color w:val="000000"/>
          <w:sz w:val="22"/>
          <w:u w:val="none"/>
        </w:rPr>
        <w:t>Two refinements earn extra credit. State the share assumption as the fragile one and test it: what share makes payback acceptable? And name the ramp: nobody gets 10% share in year one, so real payback runs longer than the naive math.</w:t>
      </w:r>
    </w:p>
    <w:p>
      <w:pPr>
        <w:spacing w:line="480" w:lineRule="auto" w:before="0" w:after="0"/>
      </w:pPr>
      <w:r>
        <w:rPr>
          <w:rFonts w:ascii="Arial" w:hAnsi="Arial" w:cs="Arial" w:eastAsia="Arial"/>
          <w:b/>
          <w:color w:val="000000"/>
          <w:sz w:val="28"/>
          <w:u w:val="single"/>
        </w:rPr>
        <w:t>5. Recommending entry without a go-to-market mechanism is the classic fail</w:t>
      </w:r>
    </w:p>
    <w:p>
      <w:pPr>
        <w:spacing w:line="480" w:lineRule="auto" w:before="0" w:after="0"/>
      </w:pPr>
      <w:r>
        <w:rPr>
          <w:rFonts w:ascii="Arial" w:hAnsi="Arial" w:cs="Arial" w:eastAsia="Arial"/>
          <w:b w:val="0"/>
          <w:color w:val="000000"/>
          <w:sz w:val="22"/>
          <w:u w:val="none"/>
        </w:rPr>
        <w:t>Here's the signature mistake in market entry cases, and interviewers watch for it specifically: the candidate says "yes, enter" and stops. Enter how? Build from scratch, acquire a local player, or partner?</w:t>
      </w:r>
    </w:p>
    <w:p>
      <w:pPr>
        <w:spacing w:line="480" w:lineRule="auto" w:before="0" w:after="0"/>
      </w:pPr>
      <w:r>
        <w:rPr>
          <w:rFonts w:ascii="Arial" w:hAnsi="Arial" w:cs="Arial" w:eastAsia="Arial"/>
          <w:b w:val="0"/>
          <w:color w:val="000000"/>
          <w:sz w:val="22"/>
          <w:u w:val="none"/>
        </w:rPr>
        <w:t>The three entry modes trade off speed, control, and cost:</w:t>
      </w:r>
    </w:p>
    <w:p>
      <w:pPr>
        <w:pStyle w:val="ListBullet"/>
        <w:spacing w:line="480" w:lineRule="auto" w:before="0" w:after="0"/>
      </w:pPr>
      <w:r>
        <w:rPr>
          <w:rFonts w:ascii="Arial" w:hAnsi="Arial" w:cs="Arial" w:eastAsia="Arial"/>
          <w:b w:val="0"/>
          <w:color w:val="000000"/>
          <w:sz w:val="22"/>
          <w:u w:val="none"/>
        </w:rPr>
        <w:t>Organic build: full control, lowest upfront cost, slowest, highest execution risk. Right when the client's brand carries and time pressure is low.</w:t>
      </w:r>
    </w:p>
    <w:p>
      <w:pPr>
        <w:pStyle w:val="ListBullet"/>
        <w:spacing w:line="480" w:lineRule="auto" w:before="0" w:after="0"/>
      </w:pPr>
      <w:r>
        <w:rPr>
          <w:rFonts w:ascii="Arial" w:hAnsi="Arial" w:cs="Arial" w:eastAsia="Arial"/>
          <w:b w:val="0"/>
          <w:color w:val="000000"/>
          <w:sz w:val="22"/>
          <w:u w:val="none"/>
        </w:rPr>
        <w:t>Acquisition: fastest to scale and to local capability, most expensive, integration risk. Right when speed matters and targets exist at sane prices.</w:t>
      </w:r>
    </w:p>
    <w:p>
      <w:pPr>
        <w:pStyle w:val="ListBullet"/>
        <w:spacing w:line="480" w:lineRule="auto" w:before="0" w:after="0"/>
      </w:pPr>
      <w:r>
        <w:rPr>
          <w:rFonts w:ascii="Arial" w:hAnsi="Arial" w:cs="Arial" w:eastAsia="Arial"/>
          <w:b w:val="0"/>
          <w:color w:val="000000"/>
          <w:sz w:val="22"/>
          <w:u w:val="none"/>
        </w:rPr>
        <w:t>Partnership or joint venture: shares cost and risk, adds a partner's assets overnight, splits the economics and the control. Right for regulated or relationship-driven markets, and the standard first move into markets like Japan or the Gulf states.</w:t>
      </w:r>
    </w:p>
    <w:p>
      <w:pPr>
        <w:spacing w:line="480" w:lineRule="auto" w:before="0" w:after="0"/>
      </w:pPr>
      <w:r>
        <w:rPr>
          <w:rFonts w:ascii="Arial" w:hAnsi="Arial" w:cs="Arial" w:eastAsia="Arial"/>
          <w:b w:val="0"/>
          <w:color w:val="000000"/>
          <w:sz w:val="22"/>
          <w:u w:val="none"/>
        </w:rPr>
        <w:t xml:space="preserve">Pick one and defend it with the capability gap from step 3. "Enter via acquisition of a regional player, because our client's gap is distribution and building it organically would take five years" is a complete answer. </w:t>
      </w:r>
      <w:r>
        <w:rPr>
          <w:rFonts w:ascii="Arial" w:hAnsi="Arial" w:cs="Arial" w:eastAsia="Arial"/>
          <w:b/>
          <w:color w:val="000000"/>
          <w:sz w:val="22"/>
          <w:u w:val="none"/>
        </w:rPr>
        <w:t>A market entry recommendation without a named entry mode, a channel, and a price position is half an answer, and half answers don't get offers.</w:t>
      </w:r>
    </w:p>
    <w:p>
      <w:pPr>
        <w:spacing w:line="480" w:lineRule="auto" w:before="0" w:after="0"/>
      </w:pPr>
      <w:r>
        <w:rPr>
          <w:rFonts w:ascii="Arial" w:hAnsi="Arial" w:cs="Arial" w:eastAsia="Arial"/>
          <w:b/>
          <w:color w:val="000000"/>
          <w:sz w:val="28"/>
          <w:u w:val="single"/>
        </w:rPr>
        <w:t>6. Risks earn their own 60 seconds, and "competitors respond" leads the list</w:t>
      </w:r>
    </w:p>
    <w:p>
      <w:pPr>
        <w:spacing w:line="480" w:lineRule="auto" w:before="0" w:after="0"/>
      </w:pPr>
      <w:r>
        <w:rPr>
          <w:rFonts w:ascii="Arial" w:hAnsi="Arial" w:cs="Arial" w:eastAsia="Arial"/>
          <w:b w:val="0"/>
          <w:color w:val="000000"/>
          <w:sz w:val="22"/>
          <w:u w:val="none"/>
        </w:rPr>
        <w:t>Before the recommendation, spend one minute on what kills the plan. The strongest candidates name specific risks with a mitigation attached, not a generic list.</w:t>
      </w:r>
    </w:p>
    <w:p>
      <w:pPr>
        <w:spacing w:line="480" w:lineRule="auto" w:before="0" w:after="0"/>
      </w:pPr>
      <w:r>
        <w:rPr>
          <w:rFonts w:ascii="Arial" w:hAnsi="Arial" w:cs="Arial" w:eastAsia="Arial"/>
          <w:b w:val="0"/>
          <w:color w:val="000000"/>
          <w:sz w:val="22"/>
          <w:u w:val="none"/>
        </w:rPr>
        <w:t>The one risk to always name: incumbent response. Entering a market moves prices, and the incumbents get a vote. If the client's entry plan only works at current price levels, model what happens when the market leader cuts prices 10% to defend share. Beyond that, pick the two risks native to the case: regulatory approval in healthcare and finance, supply chain in hardware, customer acquisition cost in consumer subscription. Then give each an exit option or a hedge: pilot in one region before national rollout, structure the acquisition with an earnout, sign the partnership with a buyout clause.</w:t>
      </w:r>
    </w:p>
    <w:p>
      <w:pPr>
        <w:spacing w:line="480" w:lineRule="auto" w:before="0" w:after="0"/>
      </w:pPr>
      <w:r>
        <w:rPr>
          <w:rFonts w:ascii="Arial" w:hAnsi="Arial" w:cs="Arial" w:eastAsia="Arial"/>
          <w:b/>
          <w:color w:val="000000"/>
          <w:sz w:val="22"/>
          <w:u w:val="none"/>
        </w:rPr>
        <w:t>Naming the incumbent response and pre-committing a pilot is the cheapest way to sound like someone who has actually done this work.</w:t>
      </w:r>
    </w:p>
    <w:p>
      <w:pPr>
        <w:spacing w:line="480" w:lineRule="auto" w:before="0" w:after="0"/>
      </w:pPr>
      <w:r>
        <w:rPr>
          <w:rFonts w:ascii="Arial" w:hAnsi="Arial" w:cs="Arial" w:eastAsia="Arial"/>
          <w:b/>
          <w:color w:val="000000"/>
          <w:sz w:val="28"/>
          <w:u w:val="single"/>
        </w:rPr>
        <w:t>7. Ask for data in this order and you'll never stall</w:t>
      </w:r>
    </w:p>
    <w:p>
      <w:pPr>
        <w:spacing w:line="480" w:lineRule="auto" w:before="0" w:after="0"/>
      </w:pPr>
      <w:r>
        <w:rPr>
          <w:rFonts w:ascii="Arial" w:hAnsi="Arial" w:cs="Arial" w:eastAsia="Arial"/>
          <w:b w:val="0"/>
          <w:color w:val="000000"/>
          <w:sz w:val="22"/>
          <w:u w:val="none"/>
        </w:rPr>
        <w:t>Market entry cases run on data the interviewer is holding, and candidates stall when they don't know what to request next. Burn this sequence in.</w:t>
      </w:r>
    </w:p>
    <w:p>
      <w:pPr>
        <w:spacing w:line="480" w:lineRule="auto" w:before="0" w:after="0"/>
      </w:pPr>
      <w:r>
        <w:rPr>
          <w:rFonts w:ascii="Arial" w:hAnsi="Arial" w:cs="Arial" w:eastAsia="Arial"/>
          <w:b w:val="0"/>
          <w:color w:val="000000"/>
          <w:sz w:val="22"/>
          <w:u w:val="none"/>
        </w:rPr>
        <w:t>First, market size and growth rate, because nothing else matters if the market fails the attractiveness bar. Second, competitor shares and margins, which tell you whether the market is winnable and whether incumbents make money. Third, the client's unit economics for this market, price and unit cost, because they feed every calculation that follows. Fourth, the required investment. With those four in hand, the payback math assembles itself, and the case starts feeling less like an interrogation and more like filling in a model.</w:t>
      </w:r>
    </w:p>
    <w:p>
      <w:pPr>
        <w:spacing w:line="480" w:lineRule="auto" w:before="0" w:after="0"/>
      </w:pPr>
      <w:r>
        <w:rPr>
          <w:rFonts w:ascii="Arial" w:hAnsi="Arial" w:cs="Arial" w:eastAsia="Arial"/>
          <w:b w:val="0"/>
          <w:color w:val="000000"/>
          <w:sz w:val="22"/>
          <w:u w:val="none"/>
        </w:rPr>
        <w:t xml:space="preserve">The order matters because it mirrors how the decision funnels: attractive, winnable, profitable, affordable. Ask out of order and you'll compute payback before knowing whether anyone in the market earns a margin at all. </w:t>
      </w:r>
      <w:r>
        <w:rPr>
          <w:rFonts w:ascii="Arial" w:hAnsi="Arial" w:cs="Arial" w:eastAsia="Arial"/>
          <w:b/>
          <w:color w:val="000000"/>
          <w:sz w:val="22"/>
          <w:u w:val="none"/>
        </w:rPr>
        <w:t>Requesting data in decision order is the quietest way to show an interviewer you've internalized the framework instead of memorizing it.</w:t>
      </w:r>
    </w:p>
    <w:p>
      <w:pPr>
        <w:spacing w:line="480" w:lineRule="auto" w:before="0" w:after="0"/>
      </w:pPr>
      <w:r>
        <w:rPr>
          <w:rFonts w:ascii="Arial" w:hAnsi="Arial" w:cs="Arial" w:eastAsia="Arial"/>
          <w:b/>
          <w:color w:val="000000"/>
          <w:sz w:val="28"/>
          <w:u w:val="single"/>
        </w:rPr>
        <w:t>8. Say this, don't say that: the recommendation</w:t>
      </w:r>
    </w:p>
    <w:p>
      <w:pPr>
        <w:spacing w:line="480" w:lineRule="auto" w:before="0" w:after="0"/>
      </w:pPr>
      <w:r>
        <w:rPr>
          <w:rFonts w:ascii="Arial" w:hAnsi="Arial" w:cs="Arial" w:eastAsia="Arial"/>
          <w:b/>
          <w:color w:val="000000"/>
          <w:sz w:val="22"/>
          <w:u w:val="none"/>
        </w:rPr>
        <w:t>"So, should our client enter?"</w:t>
      </w:r>
    </w:p>
    <w:p>
      <w:pPr>
        <w:spacing w:line="480" w:lineRule="auto" w:before="0" w:after="0"/>
      </w:pPr>
      <w:r>
        <w:rPr>
          <w:rFonts w:ascii="Arial" w:hAnsi="Arial" w:cs="Arial" w:eastAsia="Arial"/>
          <w:b w:val="0"/>
          <w:color w:val="000000"/>
          <w:sz w:val="22"/>
          <w:u w:val="none"/>
        </w:rPr>
        <w:t>Don't say: "Yes, I think they should enter because the market is large and growing."</w:t>
      </w:r>
    </w:p>
    <w:p>
      <w:pPr>
        <w:spacing w:line="480" w:lineRule="auto" w:before="0" w:after="0"/>
      </w:pPr>
      <w:r>
        <w:rPr>
          <w:rFonts w:ascii="Arial" w:hAnsi="Arial" w:cs="Arial" w:eastAsia="Arial"/>
          <w:b w:val="0"/>
          <w:color w:val="000000"/>
          <w:sz w:val="22"/>
          <w:u w:val="none"/>
        </w:rPr>
        <w:t>Say: "Yes. At a conservative 5% share the payback is four years, which clears their hurdle, and their brand closes the biggest capability gap. I'd enter through a distribution partnership and revisit a buyout once volume proves out."</w:t>
      </w:r>
    </w:p>
    <w:p>
      <w:pPr>
        <w:spacing w:line="480" w:lineRule="auto" w:before="0" w:after="0"/>
      </w:pPr>
      <w:r>
        <w:rPr>
          <w:rFonts w:ascii="Arial" w:hAnsi="Arial" w:cs="Arial" w:eastAsia="Arial"/>
          <w:b/>
          <w:color w:val="000000"/>
          <w:sz w:val="22"/>
          <w:u w:val="none"/>
        </w:rPr>
        <w:t>"What worries you about this plan?"</w:t>
      </w:r>
    </w:p>
    <w:p>
      <w:pPr>
        <w:spacing w:line="480" w:lineRule="auto" w:before="0" w:after="0"/>
      </w:pPr>
      <w:r>
        <w:rPr>
          <w:rFonts w:ascii="Arial" w:hAnsi="Arial" w:cs="Arial" w:eastAsia="Arial"/>
          <w:b w:val="0"/>
          <w:color w:val="000000"/>
          <w:sz w:val="22"/>
          <w:u w:val="none"/>
        </w:rPr>
        <w:t>Don't say: "There are always risks with any market entry."</w:t>
      </w:r>
    </w:p>
    <w:p>
      <w:pPr>
        <w:spacing w:line="480" w:lineRule="auto" w:before="0" w:after="0"/>
      </w:pPr>
      <w:r>
        <w:rPr>
          <w:rFonts w:ascii="Arial" w:hAnsi="Arial" w:cs="Arial" w:eastAsia="Arial"/>
          <w:b w:val="0"/>
          <w:color w:val="000000"/>
          <w:sz w:val="22"/>
          <w:u w:val="none"/>
        </w:rPr>
        <w:t>Say: "One thing specifically: the market leader has 60% share and room to cut price. I'd want our entry economics to survive a 10% price war, and at our current cost position they do."</w:t>
      </w:r>
    </w:p>
    <w:p>
      <w:pPr>
        <w:spacing w:line="480" w:lineRule="auto" w:before="0" w:after="0"/>
      </w:pPr>
      <w:r>
        <w:rPr>
          <w:rFonts w:ascii="Arial" w:hAnsi="Arial" w:cs="Arial" w:eastAsia="Arial"/>
          <w:b/>
          <w:color w:val="000000"/>
          <w:sz w:val="28"/>
          <w:u w:val="single"/>
        </w:rPr>
        <w:t>9. Synthesize like an investor, not a book reviewer</w:t>
      </w:r>
    </w:p>
    <w:p>
      <w:pPr>
        <w:spacing w:line="480" w:lineRule="auto" w:before="0" w:after="0"/>
      </w:pPr>
      <w:r>
        <w:rPr>
          <w:rFonts w:ascii="Arial" w:hAnsi="Arial" w:cs="Arial" w:eastAsia="Arial"/>
          <w:b w:val="0"/>
          <w:color w:val="000000"/>
          <w:sz w:val="22"/>
          <w:u w:val="none"/>
        </w:rPr>
        <w:t>The close of a market entry case is a recommendation in the first sentence, not a tour of your analysis. "I recommend entering the US meal kit market through acquisition of a mid-sized regional player, because the market clears our attractiveness bar, the client's gap is distribution, and the payback at a conservative 5% share is four years. The main risk is incumbent price response, so I'd pilot in the Northeast before committing the full $100M."</w:t>
      </w:r>
    </w:p>
    <w:p>
      <w:pPr>
        <w:spacing w:line="480" w:lineRule="auto" w:before="0" w:after="0"/>
      </w:pPr>
      <w:r>
        <w:rPr>
          <w:rFonts w:ascii="Arial" w:hAnsi="Arial" w:cs="Arial" w:eastAsia="Arial"/>
          <w:b w:val="0"/>
          <w:color w:val="000000"/>
          <w:sz w:val="22"/>
          <w:u w:val="none"/>
        </w:rPr>
        <w:t>Four sentences: verdict, top two reasons, the number, the risk with mitigation. Practice compressing your close to that shape every single time. Partners at McKinsey call this top-down communication, and the final-round case I passed came down to exactly this: my analysis was no better than the next candidate's, but my close was 30 seconds and hers was 4 minutes.</w:t>
      </w:r>
    </w:p>
    <w:p>
      <w:pPr>
        <w:spacing w:line="480" w:lineRule="auto" w:before="0" w:after="0"/>
      </w:pPr>
      <w:r>
        <w:rPr>
          <w:rFonts w:ascii="Arial" w:hAnsi="Arial" w:cs="Arial" w:eastAsia="Arial"/>
          <w:b/>
          <w:color w:val="000000"/>
          <w:sz w:val="28"/>
          <w:u w:val="single"/>
        </w:rPr>
        <w:t>10. Drill market entry with real cases, not framework flashcards</w:t>
      </w:r>
    </w:p>
    <w:p>
      <w:pPr>
        <w:spacing w:line="480" w:lineRule="auto" w:before="0" w:after="0"/>
      </w:pPr>
      <w:r>
        <w:rPr>
          <w:rFonts w:ascii="Arial" w:hAnsi="Arial" w:cs="Arial" w:eastAsia="Arial"/>
          <w:b w:val="0"/>
          <w:color w:val="000000"/>
          <w:sz w:val="22"/>
          <w:u w:val="none"/>
        </w:rPr>
        <w:t xml:space="preserve">Reading about market entry doesn't build the skill. Reps do. Pull market entry cases from the </w:t>
      </w:r>
      <w:hyperlink r:id="rId9">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 xml:space="preserve"> and the worked examples at </w:t>
      </w:r>
      <w:hyperlink r:id="rId10">
        <w:r>
          <w:rPr>
            <w:rFonts w:ascii="Arial" w:hAnsi="Arial" w:cs="Arial" w:eastAsia="Arial"/>
            <w:sz w:val="22"/>
            <w:color w:val="0563C1"/>
            <w:u w:val="single"/>
          </w:rPr>
          <w:t xml:space="preserve">Crafting Cases</w:t>
        </w:r>
      </w:hyperlink>
      <w:r>
        <w:rPr>
          <w:rFonts w:ascii="Arial" w:hAnsi="Arial" w:cs="Arial" w:eastAsia="Arial"/>
          <w:b w:val="0"/>
          <w:color w:val="000000"/>
          <w:sz w:val="22"/>
          <w:u w:val="none"/>
        </w:rPr>
        <w:t xml:space="preserve">, and practice with a partner who pushes back on your share assumptions. The firms publish their own prep too, and </w:t>
      </w:r>
      <w:hyperlink r:id="rId11">
        <w:r>
          <w:rPr>
            <w:rFonts w:ascii="Arial" w:hAnsi="Arial" w:cs="Arial" w:eastAsia="Arial"/>
            <w:sz w:val="22"/>
            <w:color w:val="0563C1"/>
            <w:u w:val="single"/>
          </w:rPr>
          <w:t xml:space="preserve">McKinsey's interview page</w:t>
        </w:r>
      </w:hyperlink>
      <w:r>
        <w:rPr>
          <w:rFonts w:ascii="Arial" w:hAnsi="Arial" w:cs="Arial" w:eastAsia="Arial"/>
          <w:b w:val="0"/>
          <w:color w:val="000000"/>
          <w:sz w:val="22"/>
          <w:u w:val="none"/>
        </w:rPr>
        <w:t xml:space="preserve"> is worth an evening. For the underlying vocabulary, Case in Point by Marc Cosentino covers the basics, though its framework-heavy style is exactly what you should outgrow by your third practice case.</w:t>
      </w:r>
    </w:p>
    <w:p>
      <w:pPr>
        <w:spacing w:line="480" w:lineRule="auto" w:before="0" w:after="0"/>
      </w:pPr>
      <w:r>
        <w:rPr>
          <w:rFonts w:ascii="Arial" w:hAnsi="Arial" w:cs="Arial" w:eastAsia="Arial"/>
          <w:b w:val="0"/>
          <w:color w:val="000000"/>
          <w:sz w:val="22"/>
          <w:u w:val="none"/>
        </w:rPr>
        <w:t>Ten market entry reps out loud, with the breakeven math done on paper every time, beats fifty framework reviews. A student I mentored through WSG, a Georgetown junior, ran 12 market entry cases in three weeks and walked into her Bain final round having seen every variant the interviewer could throw. She signed her Associate Consultant offer in November.</w:t>
      </w:r>
    </w:p>
    <w:p>
      <w:pPr>
        <w:spacing w:line="480" w:lineRule="auto" w:before="0" w:after="0"/>
      </w:pPr>
      <w:r>
        <w:rPr>
          <w:rFonts w:ascii="Arial" w:hAnsi="Arial" w:cs="Arial" w:eastAsia="Arial"/>
          <w:b/>
          <w:color w:val="000000"/>
          <w:sz w:val="22"/>
          <w:u w:val="none"/>
        </w:rPr>
        <w:t>Market entry cases are won by candidates who size the market, name the capability gap, do the payback math, and commit to an entry mode.</w:t>
      </w:r>
      <w:r>
        <w:rPr>
          <w:rFonts w:ascii="Arial" w:hAnsi="Arial" w:cs="Arial" w:eastAsia="Arial"/>
          <w:b w:val="0"/>
          <w:color w:val="000000"/>
          <w:sz w:val="22"/>
          <w:u w:val="none"/>
        </w:rPr>
        <w:t xml:space="preserve"> The framework above is the complete toolkit. The next step is saying it out loud until the structure stops feeling like a script and starts feeling like the way you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eplounge.com/en/management-consulting-cases" TargetMode="External"/><Relationship Id="rId10" Type="http://schemas.openxmlformats.org/officeDocument/2006/relationships/hyperlink" Target="https://www.craftingcases.com/case-interview-examples/" TargetMode="External"/><Relationship Id="rId11" Type="http://schemas.openxmlformats.org/officeDocument/2006/relationships/hyperlink" Target="https://www.mckinsey.com/careers/intervie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