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3F3D9C"/>
          <w:sz w:val="22"/>
          <w:szCs w:val="22"/>
        </w:rPr>
        <w:t xml:space="preserve">CalenSync Enterprise</w:t>
      </w:r>
    </w:p>
    <w:p>
      <w:pPr>
        <w:pStyle w:val="Title"/>
        <w:spacing w:after="120"/>
      </w:pPr>
      <w:r>
        <w:rPr>
          <w:rFonts w:ascii="Arial" w:cs="Arial" w:eastAsia="Arial" w:hAnsi="Arial"/>
        </w:rPr>
        <w:t xml:space="preserve">IT-Sicherheits- und Compliance-Fact-Sheet</w:t>
      </w:r>
    </w:p>
    <w:p>
      <w:pPr>
        <w:spacing w:after="120"/>
      </w:pPr>
      <w:r>
        <w:rPr>
          <w:rFonts w:ascii="Arial" w:cs="Arial" w:eastAsia="Arial" w:hAnsi="Arial"/>
          <w:color w:val="5F6368"/>
          <w:sz w:val="20"/>
          <w:szCs w:val="20"/>
        </w:rPr>
        <w:t xml:space="preserve">Fragen- und Antwortkatalog zur Lieferantenbewertung · Single-Tenant-Betrieb für Unternehmen ab 1.000 Mitarbeitenden</w:t>
      </w:r>
    </w:p>
    <w:p>
      <w:pPr>
        <w:spacing w:after="120"/>
      </w:pPr>
      <w:r>
        <w:rPr>
          <w:rFonts w:ascii="Arial" w:cs="Arial" w:eastAsia="Arial" w:hAnsi="Arial"/>
          <w:color w:val="5F6368"/>
          <w:sz w:val="18"/>
          <w:szCs w:val="18"/>
        </w:rPr>
        <w:t xml:space="preserve">Version 1.5 · Stand 01.10.2026 · Gültig für den dedizierten Mandanten-Stack (Terraform-Konfiguration „calensync-enterprise“)</w:t>
      </w:r>
    </w:p>
    <w:p>
      <w:pPr>
        <w:pStyle w:val="Heading1"/>
        <w:spacing w:after="160" w:before="360"/>
      </w:pPr>
      <w:r>
        <w:rPr>
          <w:rFonts w:ascii="Arial" w:cs="Arial" w:eastAsia="Arial" w:hAnsi="Arial"/>
        </w:rPr>
        <w:t xml:space="preserve">Lesehilfe</w:t>
      </w:r>
    </w:p>
    <w:p>
      <w:pPr>
        <w:spacing w:after="120"/>
      </w:pPr>
      <w:r>
        <w:rPr>
          <w:rFonts w:ascii="Arial" w:cs="Arial" w:eastAsia="Arial" w:hAnsi="Arial"/>
          <w:sz w:val="20"/>
          <w:szCs w:val="20"/>
        </w:rPr>
        <w:t xml:space="preserve">Jede Antwort hat einen Status. Er unterscheidet, was technisch gebaut und prüfbar ist, von dem, was der Betreiber vertraglich oder organisatorisch zusagt, und von dem, was vor dem Rollout noch fehlt. Mit seiner Unterschrift bestätigt der Betreiber die Richtigkeit aller Antworten. Offene Punkte sind bewusst als offen ausgewiesen.</w:t>
      </w:r>
    </w:p>
    <w:p>
      <w:pPr>
        <w:pStyle w:val="ListParagraph"/>
        <w:numPr>
          <w:ilvl w:val="0"/>
          <w:numId w:val="2"/>
        </w:numPr>
        <w:spacing w:after="60"/>
      </w:pPr>
      <w:r>
        <w:rPr>
          <w:rFonts w:ascii="Arial" w:cs="Arial" w:eastAsia="Arial" w:hAnsi="Arial"/>
          <w:b/>
          <w:bCs/>
          <w:sz w:val="20"/>
          <w:szCs w:val="20"/>
        </w:rPr>
        <w:t xml:space="preserve">Umgesetzt:</w:t>
      </w:r>
      <w:r>
        <w:rPr>
          <w:rFonts w:ascii="Arial" w:cs="Arial" w:eastAsia="Arial" w:hAnsi="Arial"/>
          <w:sz w:val="20"/>
          <w:szCs w:val="20"/>
        </w:rPr>
        <w:t xml:space="preserve"> im Code bzw. in der Infrastruktur-Konfiguration vorhanden und durch die genannte Fundstelle oder einen automatisierten Test belegbar.</w:t>
      </w:r>
    </w:p>
    <w:p>
      <w:pPr>
        <w:pStyle w:val="ListParagraph"/>
        <w:numPr>
          <w:ilvl w:val="0"/>
          <w:numId w:val="2"/>
        </w:numPr>
        <w:spacing w:after="60"/>
      </w:pPr>
      <w:r>
        <w:rPr>
          <w:rFonts w:ascii="Arial" w:cs="Arial" w:eastAsia="Arial" w:hAnsi="Arial"/>
          <w:b/>
          <w:bCs/>
          <w:sz w:val="20"/>
          <w:szCs w:val="20"/>
        </w:rPr>
        <w:t xml:space="preserve">Zugesagt:</w:t>
      </w:r>
      <w:r>
        <w:rPr>
          <w:rFonts w:ascii="Arial" w:cs="Arial" w:eastAsia="Arial" w:hAnsi="Arial"/>
          <w:sz w:val="20"/>
          <w:szCs w:val="20"/>
        </w:rPr>
        <w:t xml:space="preserve"> vertragliche oder organisatorische Verpflichtung (AVV, Betriebshandbuch), Nachweis über Dokumente bzw. im Audit.</w:t>
      </w:r>
    </w:p>
    <w:p>
      <w:pPr>
        <w:pStyle w:val="ListParagraph"/>
        <w:numPr>
          <w:ilvl w:val="0"/>
          <w:numId w:val="2"/>
        </w:numPr>
        <w:spacing w:after="60"/>
      </w:pPr>
      <w:r>
        <w:rPr>
          <w:rFonts w:ascii="Arial" w:cs="Arial" w:eastAsia="Arial" w:hAnsi="Arial"/>
          <w:b/>
          <w:bCs/>
          <w:sz w:val="20"/>
          <w:szCs w:val="20"/>
        </w:rPr>
        <w:t xml:space="preserve">Offen:</w:t>
      </w:r>
      <w:r>
        <w:rPr>
          <w:rFonts w:ascii="Arial" w:cs="Arial" w:eastAsia="Arial" w:hAnsi="Arial"/>
          <w:sz w:val="20"/>
          <w:szCs w:val="20"/>
        </w:rPr>
        <w:t xml:space="preserve"> noch nicht erfüllt. Vor Produktivstart zu schließen oder vom Auftraggeber bewusst zu akzeptieren.</w:t>
      </w:r>
    </w:p>
    <w:p>
      <w:pPr>
        <w:pStyle w:val="Heading1"/>
        <w:spacing w:after="160" w:before="360"/>
      </w:pPr>
      <w:r>
        <w:rPr>
          <w:rFonts w:ascii="Arial" w:cs="Arial" w:eastAsia="Arial" w:hAnsi="Arial"/>
        </w:rPr>
        <w:t xml:space="preserve">A · Leistungsumfang und Datenkategorien</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
        <w:gridCol w:w="2850"/>
        <w:gridCol w:w="7170"/>
        <w:gridCol w:w="1150"/>
        <w:gridCol w:w="2750"/>
      </w:tblGrid>
      <w:tr>
        <w:trPr>
          <w:tblHeader/>
        </w:trPr>
        <w:tc>
          <w:tcPr>
            <w:tcW w:type="dxa" w:w="650"/>
            <w:tcBorders>
              <w:top w:val="single" w:color="C8CCD4" w:sz="4"/>
              <w:left w:val="single" w:color="C8CCD4" w:sz="4"/>
              <w:bottom w:val="single" w:color="C8CCD4" w:sz="4"/>
              <w:right w:val="single" w:color="C8CCD4" w:sz="4"/>
            </w:tcBorders>
            <w:shd w:fill="E8E7F7" w:color="auto" w:val="clear"/>
            <w:tcMar>
              <w:top w:type="dxa" w:w="80"/>
              <w:left w:type="dxa" w:w="110"/>
              <w:bottom w:type="dxa" w:w="80"/>
              <w:right w:type="dxa" w:w="110"/>
            </w:tcMar>
          </w:tcPr>
          <w:p>
            <w:pPr>
              <w:spacing w:after="60"/>
            </w:pPr>
            <w:r>
              <w:rPr>
                <w:rFonts w:ascii="Arial" w:cs="Arial" w:eastAsia="Arial" w:hAnsi="Arial"/>
                <w:b/>
                <w:bCs/>
                <w:sz w:val="18"/>
                <w:szCs w:val="18"/>
              </w:rPr>
              <w:t xml:space="preserve">Nr.</w:t>
            </w:r>
          </w:p>
        </w:tc>
        <w:tc>
          <w:tcPr>
            <w:tcW w:type="dxa" w:w="2850"/>
            <w:tcBorders>
              <w:top w:val="single" w:color="C8CCD4" w:sz="4"/>
              <w:left w:val="single" w:color="C8CCD4" w:sz="4"/>
              <w:bottom w:val="single" w:color="C8CCD4" w:sz="4"/>
              <w:right w:val="single" w:color="C8CCD4" w:sz="4"/>
            </w:tcBorders>
            <w:shd w:fill="E8E7F7" w:color="auto" w:val="clear"/>
            <w:tcMar>
              <w:top w:type="dxa" w:w="80"/>
              <w:left w:type="dxa" w:w="110"/>
              <w:bottom w:type="dxa" w:w="80"/>
              <w:right w:type="dxa" w:w="110"/>
            </w:tcMar>
          </w:tcPr>
          <w:p>
            <w:pPr>
              <w:spacing w:after="60"/>
            </w:pPr>
            <w:r>
              <w:rPr>
                <w:rFonts w:ascii="Arial" w:cs="Arial" w:eastAsia="Arial" w:hAnsi="Arial"/>
                <w:b/>
                <w:bCs/>
                <w:sz w:val="18"/>
                <w:szCs w:val="18"/>
              </w:rPr>
              <w:t xml:space="preserve">Frage des Auftraggebers</w:t>
            </w:r>
          </w:p>
        </w:tc>
        <w:tc>
          <w:tcPr>
            <w:tcW w:type="dxa" w:w="7170"/>
            <w:tcBorders>
              <w:top w:val="single" w:color="C8CCD4" w:sz="4"/>
              <w:left w:val="single" w:color="C8CCD4" w:sz="4"/>
              <w:bottom w:val="single" w:color="C8CCD4" w:sz="4"/>
              <w:right w:val="single" w:color="C8CCD4" w:sz="4"/>
            </w:tcBorders>
            <w:shd w:fill="E8E7F7" w:color="auto" w:val="clear"/>
            <w:tcMar>
              <w:top w:type="dxa" w:w="80"/>
              <w:left w:type="dxa" w:w="110"/>
              <w:bottom w:type="dxa" w:w="80"/>
              <w:right w:type="dxa" w:w="110"/>
            </w:tcMar>
          </w:tcPr>
          <w:p>
            <w:pPr>
              <w:spacing w:after="60"/>
            </w:pPr>
            <w:r>
              <w:rPr>
                <w:rFonts w:ascii="Arial" w:cs="Arial" w:eastAsia="Arial" w:hAnsi="Arial"/>
                <w:b/>
                <w:bCs/>
                <w:sz w:val="18"/>
                <w:szCs w:val="18"/>
              </w:rPr>
              <w:t xml:space="preserve">Antwort des Betreibers</w:t>
            </w:r>
          </w:p>
        </w:tc>
        <w:tc>
          <w:tcPr>
            <w:tcW w:type="dxa" w:w="1150"/>
            <w:tcBorders>
              <w:top w:val="single" w:color="C8CCD4" w:sz="4"/>
              <w:left w:val="single" w:color="C8CCD4" w:sz="4"/>
              <w:bottom w:val="single" w:color="C8CCD4" w:sz="4"/>
              <w:right w:val="single" w:color="C8CCD4" w:sz="4"/>
            </w:tcBorders>
            <w:shd w:fill="E8E7F7" w:color="auto" w:val="clear"/>
            <w:tcMar>
              <w:top w:type="dxa" w:w="80"/>
              <w:left w:type="dxa" w:w="110"/>
              <w:bottom w:type="dxa" w:w="80"/>
              <w:right w:type="dxa" w:w="110"/>
            </w:tcMar>
          </w:tcPr>
          <w:p>
            <w:pPr>
              <w:spacing w:after="60"/>
            </w:pPr>
            <w:r>
              <w:rPr>
                <w:rFonts w:ascii="Arial" w:cs="Arial" w:eastAsia="Arial" w:hAnsi="Arial"/>
                <w:b/>
                <w:bCs/>
                <w:sz w:val="18"/>
                <w:szCs w:val="18"/>
              </w:rPr>
              <w:t xml:space="preserve">Status</w:t>
            </w:r>
          </w:p>
        </w:tc>
        <w:tc>
          <w:tcPr>
            <w:tcW w:type="dxa" w:w="2750"/>
            <w:tcBorders>
              <w:top w:val="single" w:color="C8CCD4" w:sz="4"/>
              <w:left w:val="single" w:color="C8CCD4" w:sz="4"/>
              <w:bottom w:val="single" w:color="C8CCD4" w:sz="4"/>
              <w:right w:val="single" w:color="C8CCD4" w:sz="4"/>
            </w:tcBorders>
            <w:shd w:fill="E8E7F7" w:color="auto" w:val="clear"/>
            <w:tcMar>
              <w:top w:type="dxa" w:w="80"/>
              <w:left w:type="dxa" w:w="110"/>
              <w:bottom w:type="dxa" w:w="80"/>
              <w:right w:type="dxa" w:w="110"/>
            </w:tcMar>
          </w:tcPr>
          <w:p>
            <w:pPr>
              <w:spacing w:after="60"/>
            </w:pPr>
            <w:r>
              <w:rPr>
                <w:rFonts w:ascii="Arial" w:cs="Arial" w:eastAsia="Arial" w:hAnsi="Arial"/>
                <w:b/>
                <w:bCs/>
                <w:sz w:val="18"/>
                <w:szCs w:val="18"/>
              </w:rPr>
              <w:t xml:space="preserve">Nachweis / Fundstelle</w:t>
            </w:r>
          </w:p>
        </w:tc>
      </w:tr>
      <w:tr>
        <w:trPr>
          <w:cantSplit w:val="false"/>
        </w:trPr>
        <w:tc>
          <w:tcPr>
            <w:tcW w:type="dxa" w:w="6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b/>
                <w:bCs/>
                <w:sz w:val="18"/>
                <w:szCs w:val="18"/>
              </w:rPr>
              <w:t xml:space="preserve">A1</w:t>
            </w:r>
          </w:p>
        </w:tc>
        <w:tc>
          <w:tcPr>
            <w:tcW w:type="dxa" w:w="28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Welche personenbezogenen Daten verarbeitet CalenSync?</w:t>
            </w:r>
          </w:p>
        </w:tc>
        <w:tc>
          <w:tcPr>
            <w:tcW w:type="dxa" w:w="717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b/>
                <w:bCs/>
                <w:sz w:val="18"/>
                <w:szCs w:val="18"/>
              </w:rPr>
              <w:t xml:space="preserve">Persistent:</w:t>
            </w:r>
            <w:r>
              <w:rPr>
                <w:rFonts w:ascii="Arial" w:cs="Arial" w:eastAsia="Arial" w:hAnsi="Arial"/>
                <w:sz w:val="18"/>
                <w:szCs w:val="18"/>
              </w:rPr>
              <w:t xml:space="preserve"> Identitätsstammdaten aus der SCIM-Provisionierung (Anmeldename/UPN, Anzeigename, Vor-/Nachname, dienstliche E-Mail, Abteilung) sowie Kalender-Metadaten je synchronisiertem Termin (Event-IDs, Beginn, Ende, Versionskennung).</w:t>
            </w:r>
          </w:p>
          <w:p>
            <w:pPr>
              <w:spacing w:after="60"/>
            </w:pPr>
            <w:r>
              <w:rPr>
                <w:rFonts w:ascii="Arial" w:cs="Arial" w:eastAsia="Arial" w:hAnsi="Arial"/>
                <w:b/>
                <w:bCs/>
                <w:sz w:val="18"/>
                <w:szCs w:val="18"/>
              </w:rPr>
              <w:t xml:space="preserve">Nicht persistent: Termininhalte (Titel, Beschreibung, Ort, Teilnehmer). Sie werden nur flüchtig im Arbeitsspeicher verarbeitet, um Filter auszuwerten. Im Modus „Als beschäftigt markieren“ erreichen sie den Zielkalender nie; im Modus „vollständig“ werden nur Titel und Ort übertragen, nie Beschreibung oder Teilnehmende. Ziele: zweites Microsoft-365-Postfach derselben Person (auch in einem verbundenen Tochter-Mandanten), vom Administrator freigegebene Team-Kalender oder die CalenSync-Buchungsseite. Beim Beenden, Deaktivieren oder Löschen entfernt CalenSync alle selbst angelegten Zieltermine.</w:t>
            </w:r>
            <w:r>
              <w:rPr>
                <w:rFonts w:ascii="Arial" w:cs="Arial" w:eastAsia="Arial" w:hAnsi="Arial"/>
                <w:sz w:val="18"/>
                <w:szCs w:val="18"/>
              </w:rPr>
            </w:r>
          </w:p>
          <w:p>
            <w:pPr>
              <w:spacing w:after="60"/>
            </w:pPr>
            <w:r>
              <w:rPr>
                <w:rFonts w:ascii="Arial" w:cs="Arial" w:eastAsia="Arial" w:hAnsi="Arial"/>
                <w:sz w:val="18"/>
                <w:szCs w:val="18"/>
              </w:rPr>
              <w:t xml:space="preserve">Telefonnummern, Adressen, Vorgesetzte und Fotos aus dem Verzeichnis werden bei der Provisionierung bewusst verworfen.</w:t>
            </w:r>
          </w:p>
        </w:tc>
        <w:tc>
          <w:tcPr>
            <w:tcW w:type="dxa" w:w="1150"/>
            <w:tcBorders>
              <w:top w:val="single" w:color="C8CCD4" w:sz="4"/>
              <w:left w:val="single" w:color="C8CCD4" w:sz="4"/>
              <w:bottom w:val="single" w:color="C8CCD4" w:sz="4"/>
              <w:right w:val="single" w:color="C8CCD4" w:sz="4"/>
            </w:tcBorders>
            <w:shd w:fill="DCEFE3" w:color="auto" w:val="clear"/>
            <w:tcMar>
              <w:top w:type="dxa" w:w="80"/>
              <w:left w:type="dxa" w:w="110"/>
              <w:bottom w:type="dxa" w:w="80"/>
              <w:right w:type="dxa" w:w="110"/>
            </w:tcMar>
          </w:tcPr>
          <w:p>
            <w:pPr>
              <w:spacing w:after="60"/>
            </w:pPr>
            <w:r>
              <w:rPr>
                <w:rFonts w:ascii="Arial" w:cs="Arial" w:eastAsia="Arial" w:hAnsi="Arial"/>
                <w:b/>
                <w:bCs/>
                <w:sz w:val="18"/>
                <w:szCs w:val="18"/>
              </w:rPr>
              <w:t xml:space="preserve">Umgesetzt (Abnahme mit echtem Mandanten offen)</w:t>
            </w:r>
          </w:p>
        </w:tc>
        <w:tc>
          <w:tcPr>
            <w:tcW w:type="dxa" w:w="27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color w:val="5F6368"/>
                <w:sz w:val="16"/>
                <w:szCs w:val="16"/>
              </w:rPr>
              <w:t xml:space="preserve">Identitätsdaten: SCIM-Attribut-Whitelist, Test „speichert nur minimale Attribute“ (scim/test/scim.test.ts). Termininhalte: Kanarienvogel-Tests in core/test/syncWorker.test.ts (busy und full: kein Inhalt in Repo, Queue, Log, Alarm und Ziel-Payload) und app/test/sync.pg.test.ts (Ende-zu-Ende auf PostgreSQL: kein Inhalt in einer Tabelle oder Logzeile). Bisher gegen eine Graph-Nachbildung geprüft, Abnahme mit echtem Microsoft-365-Testmandanten offen.</w:t>
            </w:r>
          </w:p>
        </w:tc>
      </w:tr>
      <w:tr>
        <w:trPr>
          <w:cantSplit w:val="false"/>
        </w:trPr>
        <w:tc>
          <w:tcPr>
            <w:tcW w:type="dxa" w:w="6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b/>
                <w:bCs/>
                <w:sz w:val="18"/>
                <w:szCs w:val="18"/>
              </w:rPr>
              <w:t xml:space="preserve">A2</w:t>
            </w:r>
          </w:p>
        </w:tc>
        <w:tc>
          <w:tcPr>
            <w:tcW w:type="dxa" w:w="28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Können besondere Kategorien (Art. 9 DSGVO) betroffen sein?</w:t>
            </w:r>
          </w:p>
        </w:tc>
        <w:tc>
          <w:tcPr>
            <w:tcW w:type="dxa" w:w="717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Ja, mittelbar: Kalendereinträge können Gesundheitsbezug haben (z. B. „Arzttermin“; bei Praxis- und Klinikkunden Patientennamen im Titel). CalenSync speichert diese Inhalte nicht, verarbeitet sie aber transient. Der Auftraggeber sollte das Risiko in seiner DSFA berücksichtigen.</w:t>
            </w:r>
          </w:p>
          <w:p>
            <w:pPr>
              <w:spacing w:after="60"/>
            </w:pPr>
            <w:r>
              <w:rPr>
                <w:rFonts w:ascii="Arial" w:cs="Arial" w:eastAsia="Arial" w:hAnsi="Arial"/>
                <w:sz w:val="18"/>
                <w:szCs w:val="18"/>
              </w:rPr>
              <w:t xml:space="preserve">Für Berufsgeheimnisträger (Ärzte, Kliniken) verpflichtet der Betreiber alle mitwirkenden Personen nach § 203 Abs. 4 StGB zur Verschwiegenheit.</w:t>
            </w:r>
          </w:p>
        </w:tc>
        <w:tc>
          <w:tcPr>
            <w:tcW w:type="dxa" w:w="1150"/>
            <w:tcBorders>
              <w:top w:val="single" w:color="C8CCD4" w:sz="4"/>
              <w:left w:val="single" w:color="C8CCD4" w:sz="4"/>
              <w:bottom w:val="single" w:color="C8CCD4" w:sz="4"/>
              <w:right w:val="single" w:color="C8CCD4" w:sz="4"/>
            </w:tcBorders>
            <w:shd w:fill="FFF3CD" w:color="auto" w:val="clear"/>
            <w:tcMar>
              <w:top w:type="dxa" w:w="80"/>
              <w:left w:type="dxa" w:w="110"/>
              <w:bottom w:type="dxa" w:w="80"/>
              <w:right w:type="dxa" w:w="110"/>
            </w:tcMar>
          </w:tcPr>
          <w:p>
            <w:pPr>
              <w:spacing w:after="60"/>
            </w:pPr>
            <w:r>
              <w:rPr>
                <w:rFonts w:ascii="Arial" w:cs="Arial" w:eastAsia="Arial" w:hAnsi="Arial"/>
                <w:b/>
                <w:bCs/>
                <w:sz w:val="18"/>
                <w:szCs w:val="18"/>
              </w:rPr>
              <w:t xml:space="preserve">Zugesagt</w:t>
            </w:r>
          </w:p>
        </w:tc>
        <w:tc>
          <w:tcPr>
            <w:tcW w:type="dxa" w:w="27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color w:val="5F6368"/>
                <w:sz w:val="16"/>
                <w:szCs w:val="16"/>
              </w:rPr>
              <w:t xml:space="preserve">AVV Anlage „Vertraulichkeit/§ 203 StGB“; Verpflichtungserklärungen der Mitarbeitenden</w:t>
            </w:r>
          </w:p>
        </w:tc>
      </w:tr>
      <w:tr>
        <w:trPr>
          <w:cantSplit w:val="false"/>
        </w:trPr>
        <w:tc>
          <w:tcPr>
            <w:tcW w:type="dxa" w:w="6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b/>
                <w:bCs/>
                <w:sz w:val="18"/>
                <w:szCs w:val="18"/>
              </w:rPr>
              <w:t xml:space="preserve">A3</w:t>
            </w:r>
          </w:p>
        </w:tc>
        <w:tc>
          <w:tcPr>
            <w:tcW w:type="dxa" w:w="28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Gehört der KI-Telefonassistent zum Leistungsumfang?</w:t>
            </w:r>
          </w:p>
        </w:tc>
        <w:tc>
          <w:tcPr>
            <w:tcW w:type="dxa" w:w="717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Nein. Dieses Fact Sheet umfasst ausschließlich die Kalendersynchronisation. Sprach- und KI-Funktionen haben eigene Unterauftragsverarbeiter und Datenflüsse. Sie werden bei Bedarf separat bewertet und sind im Enterprise-Stack deaktiviert.</w:t>
            </w:r>
          </w:p>
        </w:tc>
        <w:tc>
          <w:tcPr>
            <w:tcW w:type="dxa" w:w="1150"/>
            <w:tcBorders>
              <w:top w:val="single" w:color="C8CCD4" w:sz="4"/>
              <w:left w:val="single" w:color="C8CCD4" w:sz="4"/>
              <w:bottom w:val="single" w:color="C8CCD4" w:sz="4"/>
              <w:right w:val="single" w:color="C8CCD4" w:sz="4"/>
            </w:tcBorders>
            <w:shd w:fill="FFF3CD" w:color="auto" w:val="clear"/>
            <w:tcMar>
              <w:top w:type="dxa" w:w="80"/>
              <w:left w:type="dxa" w:w="110"/>
              <w:bottom w:type="dxa" w:w="80"/>
              <w:right w:type="dxa" w:w="110"/>
            </w:tcMar>
          </w:tcPr>
          <w:p>
            <w:pPr>
              <w:spacing w:after="60"/>
            </w:pPr>
            <w:r>
              <w:rPr>
                <w:rFonts w:ascii="Arial" w:cs="Arial" w:eastAsia="Arial" w:hAnsi="Arial"/>
                <w:b/>
                <w:bCs/>
                <w:sz w:val="18"/>
                <w:szCs w:val="18"/>
              </w:rPr>
              <w:t xml:space="preserve">Zugesagt</w:t>
            </w:r>
          </w:p>
        </w:tc>
        <w:tc>
          <w:tcPr>
            <w:tcW w:type="dxa" w:w="27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color w:val="5F6368"/>
                <w:sz w:val="16"/>
                <w:szCs w:val="16"/>
              </w:rPr>
              <w:t xml:space="preserve">Leistungsbeschreibung, Anlage 1</w:t>
            </w:r>
          </w:p>
        </w:tc>
      </w:tr>
    </w:tbl>
    <w:p>
      <w:pPr>
        <w:pStyle w:val="Heading1"/>
        <w:spacing w:after="160" w:before="360"/>
      </w:pPr>
      <w:r>
        <w:rPr>
          <w:rFonts w:ascii="Arial" w:cs="Arial" w:eastAsia="Arial" w:hAnsi="Arial"/>
        </w:rPr>
        <w:t xml:space="preserve">B · Hosting, Datenresidenz und Mandantentrennung</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
        <w:gridCol w:w="2850"/>
        <w:gridCol w:w="7170"/>
        <w:gridCol w:w="1150"/>
        <w:gridCol w:w="2750"/>
      </w:tblGrid>
      <w:tr>
        <w:trPr>
          <w:tblHeader/>
        </w:trPr>
        <w:tc>
          <w:tcPr>
            <w:tcW w:type="dxa" w:w="650"/>
            <w:tcBorders>
              <w:top w:val="single" w:color="C8CCD4" w:sz="4"/>
              <w:left w:val="single" w:color="C8CCD4" w:sz="4"/>
              <w:bottom w:val="single" w:color="C8CCD4" w:sz="4"/>
              <w:right w:val="single" w:color="C8CCD4" w:sz="4"/>
            </w:tcBorders>
            <w:shd w:fill="E8E7F7" w:color="auto" w:val="clear"/>
            <w:tcMar>
              <w:top w:type="dxa" w:w="80"/>
              <w:left w:type="dxa" w:w="110"/>
              <w:bottom w:type="dxa" w:w="80"/>
              <w:right w:type="dxa" w:w="110"/>
            </w:tcMar>
          </w:tcPr>
          <w:p>
            <w:pPr>
              <w:spacing w:after="60"/>
            </w:pPr>
            <w:r>
              <w:rPr>
                <w:rFonts w:ascii="Arial" w:cs="Arial" w:eastAsia="Arial" w:hAnsi="Arial"/>
                <w:b/>
                <w:bCs/>
                <w:sz w:val="18"/>
                <w:szCs w:val="18"/>
              </w:rPr>
              <w:t xml:space="preserve">Nr.</w:t>
            </w:r>
          </w:p>
        </w:tc>
        <w:tc>
          <w:tcPr>
            <w:tcW w:type="dxa" w:w="2850"/>
            <w:tcBorders>
              <w:top w:val="single" w:color="C8CCD4" w:sz="4"/>
              <w:left w:val="single" w:color="C8CCD4" w:sz="4"/>
              <w:bottom w:val="single" w:color="C8CCD4" w:sz="4"/>
              <w:right w:val="single" w:color="C8CCD4" w:sz="4"/>
            </w:tcBorders>
            <w:shd w:fill="E8E7F7" w:color="auto" w:val="clear"/>
            <w:tcMar>
              <w:top w:type="dxa" w:w="80"/>
              <w:left w:type="dxa" w:w="110"/>
              <w:bottom w:type="dxa" w:w="80"/>
              <w:right w:type="dxa" w:w="110"/>
            </w:tcMar>
          </w:tcPr>
          <w:p>
            <w:pPr>
              <w:spacing w:after="60"/>
            </w:pPr>
            <w:r>
              <w:rPr>
                <w:rFonts w:ascii="Arial" w:cs="Arial" w:eastAsia="Arial" w:hAnsi="Arial"/>
                <w:b/>
                <w:bCs/>
                <w:sz w:val="18"/>
                <w:szCs w:val="18"/>
              </w:rPr>
              <w:t xml:space="preserve">Frage des Auftraggebers</w:t>
            </w:r>
          </w:p>
        </w:tc>
        <w:tc>
          <w:tcPr>
            <w:tcW w:type="dxa" w:w="7170"/>
            <w:tcBorders>
              <w:top w:val="single" w:color="C8CCD4" w:sz="4"/>
              <w:left w:val="single" w:color="C8CCD4" w:sz="4"/>
              <w:bottom w:val="single" w:color="C8CCD4" w:sz="4"/>
              <w:right w:val="single" w:color="C8CCD4" w:sz="4"/>
            </w:tcBorders>
            <w:shd w:fill="E8E7F7" w:color="auto" w:val="clear"/>
            <w:tcMar>
              <w:top w:type="dxa" w:w="80"/>
              <w:left w:type="dxa" w:w="110"/>
              <w:bottom w:type="dxa" w:w="80"/>
              <w:right w:type="dxa" w:w="110"/>
            </w:tcMar>
          </w:tcPr>
          <w:p>
            <w:pPr>
              <w:spacing w:after="60"/>
            </w:pPr>
            <w:r>
              <w:rPr>
                <w:rFonts w:ascii="Arial" w:cs="Arial" w:eastAsia="Arial" w:hAnsi="Arial"/>
                <w:b/>
                <w:bCs/>
                <w:sz w:val="18"/>
                <w:szCs w:val="18"/>
              </w:rPr>
              <w:t xml:space="preserve">Antwort des Betreibers</w:t>
            </w:r>
          </w:p>
        </w:tc>
        <w:tc>
          <w:tcPr>
            <w:tcW w:type="dxa" w:w="1150"/>
            <w:tcBorders>
              <w:top w:val="single" w:color="C8CCD4" w:sz="4"/>
              <w:left w:val="single" w:color="C8CCD4" w:sz="4"/>
              <w:bottom w:val="single" w:color="C8CCD4" w:sz="4"/>
              <w:right w:val="single" w:color="C8CCD4" w:sz="4"/>
            </w:tcBorders>
            <w:shd w:fill="E8E7F7" w:color="auto" w:val="clear"/>
            <w:tcMar>
              <w:top w:type="dxa" w:w="80"/>
              <w:left w:type="dxa" w:w="110"/>
              <w:bottom w:type="dxa" w:w="80"/>
              <w:right w:type="dxa" w:w="110"/>
            </w:tcMar>
          </w:tcPr>
          <w:p>
            <w:pPr>
              <w:spacing w:after="60"/>
            </w:pPr>
            <w:r>
              <w:rPr>
                <w:rFonts w:ascii="Arial" w:cs="Arial" w:eastAsia="Arial" w:hAnsi="Arial"/>
                <w:b/>
                <w:bCs/>
                <w:sz w:val="18"/>
                <w:szCs w:val="18"/>
              </w:rPr>
              <w:t xml:space="preserve">Status</w:t>
            </w:r>
          </w:p>
        </w:tc>
        <w:tc>
          <w:tcPr>
            <w:tcW w:type="dxa" w:w="2750"/>
            <w:tcBorders>
              <w:top w:val="single" w:color="C8CCD4" w:sz="4"/>
              <w:left w:val="single" w:color="C8CCD4" w:sz="4"/>
              <w:bottom w:val="single" w:color="C8CCD4" w:sz="4"/>
              <w:right w:val="single" w:color="C8CCD4" w:sz="4"/>
            </w:tcBorders>
            <w:shd w:fill="E8E7F7" w:color="auto" w:val="clear"/>
            <w:tcMar>
              <w:top w:type="dxa" w:w="80"/>
              <w:left w:type="dxa" w:w="110"/>
              <w:bottom w:type="dxa" w:w="80"/>
              <w:right w:type="dxa" w:w="110"/>
            </w:tcMar>
          </w:tcPr>
          <w:p>
            <w:pPr>
              <w:spacing w:after="60"/>
            </w:pPr>
            <w:r>
              <w:rPr>
                <w:rFonts w:ascii="Arial" w:cs="Arial" w:eastAsia="Arial" w:hAnsi="Arial"/>
                <w:b/>
                <w:bCs/>
                <w:sz w:val="18"/>
                <w:szCs w:val="18"/>
              </w:rPr>
              <w:t xml:space="preserve">Nachweis / Fundstelle</w:t>
            </w:r>
          </w:p>
        </w:tc>
      </w:tr>
      <w:tr>
        <w:trPr>
          <w:cantSplit w:val="false"/>
        </w:trPr>
        <w:tc>
          <w:tcPr>
            <w:tcW w:type="dxa" w:w="6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b/>
                <w:bCs/>
                <w:sz w:val="18"/>
                <w:szCs w:val="18"/>
              </w:rPr>
              <w:t xml:space="preserve">B1</w:t>
            </w:r>
          </w:p>
        </w:tc>
        <w:tc>
          <w:tcPr>
            <w:tcW w:type="dxa" w:w="28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Wo werden die Daten physisch gespeichert und verarbeitet?</w:t>
            </w:r>
          </w:p>
        </w:tc>
        <w:tc>
          <w:tcPr>
            <w:tcW w:type="dxa" w:w="717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Ausschließlich in der AWS-Region </w:t>
            </w:r>
            <w:r>
              <w:rPr>
                <w:rFonts w:ascii="Arial" w:cs="Arial" w:eastAsia="Arial" w:hAnsi="Arial"/>
                <w:b/>
                <w:bCs/>
                <w:sz w:val="18"/>
                <w:szCs w:val="18"/>
              </w:rPr>
              <w:t xml:space="preserve">eu-central-1 (Frankfurt am Main)</w:t>
            </w:r>
            <w:r>
              <w:rPr>
                <w:rFonts w:ascii="Arial" w:cs="Arial" w:eastAsia="Arial" w:hAnsi="Arial"/>
                <w:sz w:val="18"/>
                <w:szCs w:val="18"/>
              </w:rPr>
              <w:t xml:space="preserve">, verteilt auf drei Availability Zones. Backups liegen in derselben Region. Eine Backup-Kopie in eine zweite EU-Region (z. B. Irland) erfolgt nur nach schriftlicher Zustimmung des Auftraggebers. Bei der Vorgabe „nur Deutschland“ ist sie abgeschaltet.</w:t>
            </w:r>
          </w:p>
        </w:tc>
        <w:tc>
          <w:tcPr>
            <w:tcW w:type="dxa" w:w="1150"/>
            <w:tcBorders>
              <w:top w:val="single" w:color="C8CCD4" w:sz="4"/>
              <w:left w:val="single" w:color="C8CCD4" w:sz="4"/>
              <w:bottom w:val="single" w:color="C8CCD4" w:sz="4"/>
              <w:right w:val="single" w:color="C8CCD4" w:sz="4"/>
            </w:tcBorders>
            <w:shd w:fill="DCEFE3" w:color="auto" w:val="clear"/>
            <w:tcMar>
              <w:top w:type="dxa" w:w="80"/>
              <w:left w:type="dxa" w:w="110"/>
              <w:bottom w:type="dxa" w:w="80"/>
              <w:right w:type="dxa" w:w="110"/>
            </w:tcMar>
          </w:tcPr>
          <w:p>
            <w:pPr>
              <w:spacing w:after="60"/>
            </w:pPr>
            <w:r>
              <w:rPr>
                <w:rFonts w:ascii="Arial" w:cs="Arial" w:eastAsia="Arial" w:hAnsi="Arial"/>
                <w:b/>
                <w:bCs/>
                <w:sz w:val="18"/>
                <w:szCs w:val="18"/>
              </w:rPr>
              <w:t xml:space="preserve">Umgesetzt</w:t>
            </w:r>
          </w:p>
        </w:tc>
        <w:tc>
          <w:tcPr>
            <w:tcW w:type="dxa" w:w="27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color w:val="5F6368"/>
                <w:sz w:val="16"/>
                <w:szCs w:val="16"/>
              </w:rPr>
              <w:t xml:space="preserve">Terraform: variables.tf (region, dr_copy_enabled = false), backup.tf</w:t>
            </w:r>
          </w:p>
        </w:tc>
      </w:tr>
      <w:tr>
        <w:trPr>
          <w:cantSplit w:val="false"/>
        </w:trPr>
        <w:tc>
          <w:tcPr>
            <w:tcW w:type="dxa" w:w="6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b/>
                <w:bCs/>
                <w:sz w:val="18"/>
                <w:szCs w:val="18"/>
              </w:rPr>
              <w:t xml:space="preserve">B2</w:t>
            </w:r>
          </w:p>
        </w:tc>
        <w:tc>
          <w:tcPr>
            <w:tcW w:type="dxa" w:w="28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Wie sind Mandanten voneinander getrennt?</w:t>
            </w:r>
          </w:p>
        </w:tc>
        <w:tc>
          <w:tcPr>
            <w:tcW w:type="dxa" w:w="717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b/>
                <w:bCs/>
                <w:sz w:val="18"/>
                <w:szCs w:val="18"/>
              </w:rPr>
              <w:t xml:space="preserve">Physisch-logisch getrennter Single-Tenant-Betrieb:</w:t>
            </w:r>
            <w:r>
              <w:rPr>
                <w:rFonts w:ascii="Arial" w:cs="Arial" w:eastAsia="Arial" w:hAnsi="Arial"/>
                <w:sz w:val="18"/>
                <w:szCs w:val="18"/>
              </w:rPr>
              <w:t xml:space="preserve"> eigener AWS-Account je Enterprise-Kunde in AWS Organizations, eigene VPC ohne Peering, eigene KMS-Schlüssel, eigener Aurora-PostgreSQL-Cluster und eigener ECS-Cluster. Es gibt keine geteilten Datenbanken, Connection-Pools oder Caches. Innerhalb des Stacks trägt jede Tabelle zusätzlich die Mandanten-ID, und jede Abfrage ist mandantengebunden (Defense in Depth).</w:t>
            </w:r>
          </w:p>
        </w:tc>
        <w:tc>
          <w:tcPr>
            <w:tcW w:type="dxa" w:w="1150"/>
            <w:tcBorders>
              <w:top w:val="single" w:color="C8CCD4" w:sz="4"/>
              <w:left w:val="single" w:color="C8CCD4" w:sz="4"/>
              <w:bottom w:val="single" w:color="C8CCD4" w:sz="4"/>
              <w:right w:val="single" w:color="C8CCD4" w:sz="4"/>
            </w:tcBorders>
            <w:shd w:fill="DCEFE3" w:color="auto" w:val="clear"/>
            <w:tcMar>
              <w:top w:type="dxa" w:w="80"/>
              <w:left w:type="dxa" w:w="110"/>
              <w:bottom w:type="dxa" w:w="80"/>
              <w:right w:type="dxa" w:w="110"/>
            </w:tcMar>
          </w:tcPr>
          <w:p>
            <w:pPr>
              <w:spacing w:after="60"/>
            </w:pPr>
            <w:r>
              <w:rPr>
                <w:rFonts w:ascii="Arial" w:cs="Arial" w:eastAsia="Arial" w:hAnsi="Arial"/>
                <w:b/>
                <w:bCs/>
                <w:sz w:val="18"/>
                <w:szCs w:val="18"/>
              </w:rPr>
              <w:t xml:space="preserve">Umgesetzt</w:t>
            </w:r>
          </w:p>
        </w:tc>
        <w:tc>
          <w:tcPr>
            <w:tcW w:type="dxa" w:w="27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color w:val="5F6368"/>
                <w:sz w:val="16"/>
                <w:szCs w:val="16"/>
              </w:rPr>
              <w:t xml:space="preserve">Terraform: versions.tf (allowed_account_ids), network.tf, database.tf; SCIM-Test „Mandant B sieht keine User von A“</w:t>
            </w:r>
          </w:p>
        </w:tc>
      </w:tr>
      <w:tr>
        <w:trPr>
          <w:cantSplit w:val="false"/>
        </w:trPr>
        <w:tc>
          <w:tcPr>
            <w:tcW w:type="dxa" w:w="6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b/>
                <w:bCs/>
                <w:sz w:val="18"/>
                <w:szCs w:val="18"/>
              </w:rPr>
              <w:t xml:space="preserve">B3</w:t>
            </w:r>
          </w:p>
        </w:tc>
        <w:tc>
          <w:tcPr>
            <w:tcW w:type="dxa" w:w="28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Netzwerkisolation der Datenbank?</w:t>
            </w:r>
          </w:p>
        </w:tc>
        <w:tc>
          <w:tcPr>
            <w:tcW w:type="dxa" w:w="717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Aurora liegt in Subnetzen ohne Internet-Route und ist nur auf Port 5432 aus der Sicherheitsgruppe der Anwendung erreichbar. Kein öffentlicher Endpunkt. AWS-API-Verkehr läuft über VPC-Endpoints.</w:t>
            </w:r>
          </w:p>
        </w:tc>
        <w:tc>
          <w:tcPr>
            <w:tcW w:type="dxa" w:w="1150"/>
            <w:tcBorders>
              <w:top w:val="single" w:color="C8CCD4" w:sz="4"/>
              <w:left w:val="single" w:color="C8CCD4" w:sz="4"/>
              <w:bottom w:val="single" w:color="C8CCD4" w:sz="4"/>
              <w:right w:val="single" w:color="C8CCD4" w:sz="4"/>
            </w:tcBorders>
            <w:shd w:fill="DCEFE3" w:color="auto" w:val="clear"/>
            <w:tcMar>
              <w:top w:type="dxa" w:w="80"/>
              <w:left w:type="dxa" w:w="110"/>
              <w:bottom w:type="dxa" w:w="80"/>
              <w:right w:type="dxa" w:w="110"/>
            </w:tcMar>
          </w:tcPr>
          <w:p>
            <w:pPr>
              <w:spacing w:after="60"/>
            </w:pPr>
            <w:r>
              <w:rPr>
                <w:rFonts w:ascii="Arial" w:cs="Arial" w:eastAsia="Arial" w:hAnsi="Arial"/>
                <w:b/>
                <w:bCs/>
                <w:sz w:val="18"/>
                <w:szCs w:val="18"/>
              </w:rPr>
              <w:t xml:space="preserve">Umgesetzt</w:t>
            </w:r>
          </w:p>
        </w:tc>
        <w:tc>
          <w:tcPr>
            <w:tcW w:type="dxa" w:w="27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color w:val="5F6368"/>
                <w:sz w:val="16"/>
                <w:szCs w:val="16"/>
              </w:rPr>
              <w:t xml:space="preserve">network.tf (aws_route_table.data ohne Default-Route), database.tf (Security Group)</w:t>
            </w:r>
          </w:p>
        </w:tc>
      </w:tr>
      <w:tr>
        <w:trPr>
          <w:cantSplit w:val="false"/>
        </w:trPr>
        <w:tc>
          <w:tcPr>
            <w:tcW w:type="dxa" w:w="6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b/>
                <w:bCs/>
                <w:sz w:val="18"/>
                <w:szCs w:val="18"/>
              </w:rPr>
              <w:t xml:space="preserve">B4</w:t>
            </w:r>
          </w:p>
        </w:tc>
        <w:tc>
          <w:tcPr>
            <w:tcW w:type="dxa" w:w="28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Drittlandbezug / US CLOUD Act?</w:t>
            </w:r>
          </w:p>
        </w:tc>
        <w:tc>
          <w:tcPr>
            <w:tcW w:type="dxa" w:w="717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Vertragspartner für das Hosting ist Amazon Web Services EMEA SARL (Luxemburg). Die Daten verlassen die EU nicht. Restrisiko: AWS gehört zu einem US-Konzern (CLOUD Act). AWS ist unter dem EU-US Data Privacy Framework zertifiziert. Wer dieses Risiko ausschließen muss, kann den Stack in der </w:t>
            </w:r>
            <w:r>
              <w:rPr>
                <w:rFonts w:ascii="Arial" w:cs="Arial" w:eastAsia="Arial" w:hAnsi="Arial"/>
                <w:b/>
                <w:bCs/>
                <w:sz w:val="18"/>
                <w:szCs w:val="18"/>
              </w:rPr>
              <w:t xml:space="preserve">AWS European Sovereign Cloud</w:t>
            </w:r>
            <w:r>
              <w:rPr>
                <w:rFonts w:ascii="Arial" w:cs="Arial" w:eastAsia="Arial" w:hAnsi="Arial"/>
                <w:sz w:val="18"/>
                <w:szCs w:val="18"/>
              </w:rPr>
              <w:t xml:space="preserve"> (Region eusc-de-east-1, Brandenburg, seit 14.01.2026 verfügbar) betreiben. Die Terraform-Konfiguration ist dafür regionsparametrisiert, der Dienstumfang muss vorab abgeglichen werden.</w:t>
            </w:r>
          </w:p>
        </w:tc>
        <w:tc>
          <w:tcPr>
            <w:tcW w:type="dxa" w:w="1150"/>
            <w:tcBorders>
              <w:top w:val="single" w:color="C8CCD4" w:sz="4"/>
              <w:left w:val="single" w:color="C8CCD4" w:sz="4"/>
              <w:bottom w:val="single" w:color="C8CCD4" w:sz="4"/>
              <w:right w:val="single" w:color="C8CCD4" w:sz="4"/>
            </w:tcBorders>
            <w:shd w:fill="FFF3CD" w:color="auto" w:val="clear"/>
            <w:tcMar>
              <w:top w:type="dxa" w:w="80"/>
              <w:left w:type="dxa" w:w="110"/>
              <w:bottom w:type="dxa" w:w="80"/>
              <w:right w:type="dxa" w:w="110"/>
            </w:tcMar>
          </w:tcPr>
          <w:p>
            <w:pPr>
              <w:spacing w:after="60"/>
            </w:pPr>
            <w:r>
              <w:rPr>
                <w:rFonts w:ascii="Arial" w:cs="Arial" w:eastAsia="Arial" w:hAnsi="Arial"/>
                <w:b/>
                <w:bCs/>
                <w:sz w:val="18"/>
                <w:szCs w:val="18"/>
              </w:rPr>
              <w:t xml:space="preserve">Zugesagt</w:t>
            </w:r>
          </w:p>
        </w:tc>
        <w:tc>
          <w:tcPr>
            <w:tcW w:type="dxa" w:w="27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color w:val="5F6368"/>
                <w:sz w:val="16"/>
                <w:szCs w:val="16"/>
              </w:rPr>
              <w:t xml:space="preserve">AWS DPA; Subprozessorenliste (Anlage 3)</w:t>
            </w:r>
          </w:p>
        </w:tc>
      </w:tr>
    </w:tbl>
    <w:p>
      <w:pPr>
        <w:pStyle w:val="Heading1"/>
        <w:spacing w:after="160" w:before="360"/>
      </w:pPr>
      <w:r>
        <w:rPr>
          <w:rFonts w:ascii="Arial" w:cs="Arial" w:eastAsia="Arial" w:hAnsi="Arial"/>
        </w:rPr>
        <w:t xml:space="preserve">C · Verschlüsselung und Schlüsselverwaltung</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
        <w:gridCol w:w="2850"/>
        <w:gridCol w:w="7170"/>
        <w:gridCol w:w="1150"/>
        <w:gridCol w:w="2750"/>
      </w:tblGrid>
      <w:tr>
        <w:trPr>
          <w:tblHeader/>
        </w:trPr>
        <w:tc>
          <w:tcPr>
            <w:tcW w:type="dxa" w:w="650"/>
            <w:tcBorders>
              <w:top w:val="single" w:color="C8CCD4" w:sz="4"/>
              <w:left w:val="single" w:color="C8CCD4" w:sz="4"/>
              <w:bottom w:val="single" w:color="C8CCD4" w:sz="4"/>
              <w:right w:val="single" w:color="C8CCD4" w:sz="4"/>
            </w:tcBorders>
            <w:shd w:fill="E8E7F7" w:color="auto" w:val="clear"/>
            <w:tcMar>
              <w:top w:type="dxa" w:w="80"/>
              <w:left w:type="dxa" w:w="110"/>
              <w:bottom w:type="dxa" w:w="80"/>
              <w:right w:type="dxa" w:w="110"/>
            </w:tcMar>
          </w:tcPr>
          <w:p>
            <w:pPr>
              <w:spacing w:after="60"/>
            </w:pPr>
            <w:r>
              <w:rPr>
                <w:rFonts w:ascii="Arial" w:cs="Arial" w:eastAsia="Arial" w:hAnsi="Arial"/>
                <w:b/>
                <w:bCs/>
                <w:sz w:val="18"/>
                <w:szCs w:val="18"/>
              </w:rPr>
              <w:t xml:space="preserve">Nr.</w:t>
            </w:r>
          </w:p>
        </w:tc>
        <w:tc>
          <w:tcPr>
            <w:tcW w:type="dxa" w:w="2850"/>
            <w:tcBorders>
              <w:top w:val="single" w:color="C8CCD4" w:sz="4"/>
              <w:left w:val="single" w:color="C8CCD4" w:sz="4"/>
              <w:bottom w:val="single" w:color="C8CCD4" w:sz="4"/>
              <w:right w:val="single" w:color="C8CCD4" w:sz="4"/>
            </w:tcBorders>
            <w:shd w:fill="E8E7F7" w:color="auto" w:val="clear"/>
            <w:tcMar>
              <w:top w:type="dxa" w:w="80"/>
              <w:left w:type="dxa" w:w="110"/>
              <w:bottom w:type="dxa" w:w="80"/>
              <w:right w:type="dxa" w:w="110"/>
            </w:tcMar>
          </w:tcPr>
          <w:p>
            <w:pPr>
              <w:spacing w:after="60"/>
            </w:pPr>
            <w:r>
              <w:rPr>
                <w:rFonts w:ascii="Arial" w:cs="Arial" w:eastAsia="Arial" w:hAnsi="Arial"/>
                <w:b/>
                <w:bCs/>
                <w:sz w:val="18"/>
                <w:szCs w:val="18"/>
              </w:rPr>
              <w:t xml:space="preserve">Frage des Auftraggebers</w:t>
            </w:r>
          </w:p>
        </w:tc>
        <w:tc>
          <w:tcPr>
            <w:tcW w:type="dxa" w:w="7170"/>
            <w:tcBorders>
              <w:top w:val="single" w:color="C8CCD4" w:sz="4"/>
              <w:left w:val="single" w:color="C8CCD4" w:sz="4"/>
              <w:bottom w:val="single" w:color="C8CCD4" w:sz="4"/>
              <w:right w:val="single" w:color="C8CCD4" w:sz="4"/>
            </w:tcBorders>
            <w:shd w:fill="E8E7F7" w:color="auto" w:val="clear"/>
            <w:tcMar>
              <w:top w:type="dxa" w:w="80"/>
              <w:left w:type="dxa" w:w="110"/>
              <w:bottom w:type="dxa" w:w="80"/>
              <w:right w:type="dxa" w:w="110"/>
            </w:tcMar>
          </w:tcPr>
          <w:p>
            <w:pPr>
              <w:spacing w:after="60"/>
            </w:pPr>
            <w:r>
              <w:rPr>
                <w:rFonts w:ascii="Arial" w:cs="Arial" w:eastAsia="Arial" w:hAnsi="Arial"/>
                <w:b/>
                <w:bCs/>
                <w:sz w:val="18"/>
                <w:szCs w:val="18"/>
              </w:rPr>
              <w:t xml:space="preserve">Antwort des Betreibers</w:t>
            </w:r>
          </w:p>
        </w:tc>
        <w:tc>
          <w:tcPr>
            <w:tcW w:type="dxa" w:w="1150"/>
            <w:tcBorders>
              <w:top w:val="single" w:color="C8CCD4" w:sz="4"/>
              <w:left w:val="single" w:color="C8CCD4" w:sz="4"/>
              <w:bottom w:val="single" w:color="C8CCD4" w:sz="4"/>
              <w:right w:val="single" w:color="C8CCD4" w:sz="4"/>
            </w:tcBorders>
            <w:shd w:fill="E8E7F7" w:color="auto" w:val="clear"/>
            <w:tcMar>
              <w:top w:type="dxa" w:w="80"/>
              <w:left w:type="dxa" w:w="110"/>
              <w:bottom w:type="dxa" w:w="80"/>
              <w:right w:type="dxa" w:w="110"/>
            </w:tcMar>
          </w:tcPr>
          <w:p>
            <w:pPr>
              <w:spacing w:after="60"/>
            </w:pPr>
            <w:r>
              <w:rPr>
                <w:rFonts w:ascii="Arial" w:cs="Arial" w:eastAsia="Arial" w:hAnsi="Arial"/>
                <w:b/>
                <w:bCs/>
                <w:sz w:val="18"/>
                <w:szCs w:val="18"/>
              </w:rPr>
              <w:t xml:space="preserve">Status</w:t>
            </w:r>
          </w:p>
        </w:tc>
        <w:tc>
          <w:tcPr>
            <w:tcW w:type="dxa" w:w="2750"/>
            <w:tcBorders>
              <w:top w:val="single" w:color="C8CCD4" w:sz="4"/>
              <w:left w:val="single" w:color="C8CCD4" w:sz="4"/>
              <w:bottom w:val="single" w:color="C8CCD4" w:sz="4"/>
              <w:right w:val="single" w:color="C8CCD4" w:sz="4"/>
            </w:tcBorders>
            <w:shd w:fill="E8E7F7" w:color="auto" w:val="clear"/>
            <w:tcMar>
              <w:top w:type="dxa" w:w="80"/>
              <w:left w:type="dxa" w:w="110"/>
              <w:bottom w:type="dxa" w:w="80"/>
              <w:right w:type="dxa" w:w="110"/>
            </w:tcMar>
          </w:tcPr>
          <w:p>
            <w:pPr>
              <w:spacing w:after="60"/>
            </w:pPr>
            <w:r>
              <w:rPr>
                <w:rFonts w:ascii="Arial" w:cs="Arial" w:eastAsia="Arial" w:hAnsi="Arial"/>
                <w:b/>
                <w:bCs/>
                <w:sz w:val="18"/>
                <w:szCs w:val="18"/>
              </w:rPr>
              <w:t xml:space="preserve">Nachweis / Fundstelle</w:t>
            </w:r>
          </w:p>
        </w:tc>
      </w:tr>
      <w:tr>
        <w:trPr>
          <w:cantSplit w:val="false"/>
        </w:trPr>
        <w:tc>
          <w:tcPr>
            <w:tcW w:type="dxa" w:w="6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b/>
                <w:bCs/>
                <w:sz w:val="18"/>
                <w:szCs w:val="18"/>
              </w:rPr>
              <w:t xml:space="preserve">C1</w:t>
            </w:r>
          </w:p>
        </w:tc>
        <w:tc>
          <w:tcPr>
            <w:tcW w:type="dxa" w:w="28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Verschlüsselung bei der Übertragung (in transit)?</w:t>
            </w:r>
          </w:p>
        </w:tc>
        <w:tc>
          <w:tcPr>
            <w:tcW w:type="dxa" w:w="717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Extern: TLS 1.3/1.2 am Load Balancer (Policy ELBSecurityPolicy-TLS13-1-2-2021-06), HTTP wird auf HTTPS umgeleitet. Datenbank: TLS erzwungen (rds.force_ssl = 1, mind. TLS 1.2, Client mit verify-full). Provider-APIs (Microsoft Graph, Google): ausschließlich HTTPS.</w:t>
            </w:r>
          </w:p>
          <w:p>
            <w:pPr>
              <w:spacing w:after="60"/>
            </w:pPr>
            <w:r>
              <w:rPr>
                <w:rFonts w:ascii="Arial" w:cs="Arial" w:eastAsia="Arial" w:hAnsi="Arial"/>
                <w:b/>
                <w:bCs/>
                <w:sz w:val="18"/>
                <w:szCs w:val="18"/>
              </w:rPr>
              <w:t xml:space="preserve">Einschränkung:</w:t>
            </w:r>
            <w:r>
              <w:rPr>
                <w:rFonts w:ascii="Arial" w:cs="Arial" w:eastAsia="Arial" w:hAnsi="Arial"/>
                <w:sz w:val="18"/>
                <w:szCs w:val="18"/>
              </w:rPr>
              <w:t xml:space="preserve"> Zwischen Load Balancer und Container läuft der Verkehr derzeit unverschlüsselt innerhalb privater, isolierter Subnetze. End-to-End-TLS bis in den Container ist als Ausbaustufe vorgesehen.</w:t>
            </w:r>
          </w:p>
        </w:tc>
        <w:tc>
          <w:tcPr>
            <w:tcW w:type="dxa" w:w="1150"/>
            <w:tcBorders>
              <w:top w:val="single" w:color="C8CCD4" w:sz="4"/>
              <w:left w:val="single" w:color="C8CCD4" w:sz="4"/>
              <w:bottom w:val="single" w:color="C8CCD4" w:sz="4"/>
              <w:right w:val="single" w:color="C8CCD4" w:sz="4"/>
            </w:tcBorders>
            <w:shd w:fill="FFF3CD" w:color="auto" w:val="clear"/>
            <w:tcMar>
              <w:top w:type="dxa" w:w="80"/>
              <w:left w:type="dxa" w:w="110"/>
              <w:bottom w:type="dxa" w:w="80"/>
              <w:right w:type="dxa" w:w="110"/>
            </w:tcMar>
          </w:tcPr>
          <w:p>
            <w:pPr>
              <w:spacing w:after="60"/>
            </w:pPr>
            <w:r>
              <w:rPr>
                <w:rFonts w:ascii="Arial" w:cs="Arial" w:eastAsia="Arial" w:hAnsi="Arial"/>
                <w:b/>
                <w:bCs/>
                <w:sz w:val="18"/>
                <w:szCs w:val="18"/>
              </w:rPr>
              <w:t xml:space="preserve">Zugesagt</w:t>
            </w:r>
          </w:p>
        </w:tc>
        <w:tc>
          <w:tcPr>
            <w:tcW w:type="dxa" w:w="27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color w:val="5F6368"/>
                <w:sz w:val="16"/>
                <w:szCs w:val="16"/>
              </w:rPr>
              <w:t xml:space="preserve">edge.tf (ssl_policy), database.tf (Parametergruppe), ecs.tf (DB_SSLMODE)</w:t>
            </w:r>
          </w:p>
        </w:tc>
      </w:tr>
      <w:tr>
        <w:trPr>
          <w:cantSplit w:val="false"/>
        </w:trPr>
        <w:tc>
          <w:tcPr>
            <w:tcW w:type="dxa" w:w="6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b/>
                <w:bCs/>
                <w:sz w:val="18"/>
                <w:szCs w:val="18"/>
              </w:rPr>
              <w:t xml:space="preserve">C2</w:t>
            </w:r>
          </w:p>
        </w:tc>
        <w:tc>
          <w:tcPr>
            <w:tcW w:type="dxa" w:w="28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Verschlüsselung gespeicherter Daten (at rest)?</w:t>
            </w:r>
          </w:p>
        </w:tc>
        <w:tc>
          <w:tcPr>
            <w:tcW w:type="dxa" w:w="717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AES-256 über kundeneigene KMS-Schlüssel (Customer Managed Keys) je Mandant: Aurora-Speicher, Snapshots, Performance-Insights, Secrets, AWS-Backup-Tresor, CloudWatch-Logs, CloudTrail. OAuth-Refresh-Tokens (nur bei delegiertem OAuth) zusätzlich anwendungsseitig per Envelope-Verschlüsselung mit separatem Schlüssel (Rotation 90 Tage). ALB-Zugriffslogs: SSE-S3 (AES-256, AWS-verwalteter Schlüssel), da der Dienst nichts anderes unterstützt.</w:t>
            </w:r>
          </w:p>
        </w:tc>
        <w:tc>
          <w:tcPr>
            <w:tcW w:type="dxa" w:w="1150"/>
            <w:tcBorders>
              <w:top w:val="single" w:color="C8CCD4" w:sz="4"/>
              <w:left w:val="single" w:color="C8CCD4" w:sz="4"/>
              <w:bottom w:val="single" w:color="C8CCD4" w:sz="4"/>
              <w:right w:val="single" w:color="C8CCD4" w:sz="4"/>
            </w:tcBorders>
            <w:shd w:fill="DCEFE3" w:color="auto" w:val="clear"/>
            <w:tcMar>
              <w:top w:type="dxa" w:w="80"/>
              <w:left w:type="dxa" w:w="110"/>
              <w:bottom w:type="dxa" w:w="80"/>
              <w:right w:type="dxa" w:w="110"/>
            </w:tcMar>
          </w:tcPr>
          <w:p>
            <w:pPr>
              <w:spacing w:after="60"/>
            </w:pPr>
            <w:r>
              <w:rPr>
                <w:rFonts w:ascii="Arial" w:cs="Arial" w:eastAsia="Arial" w:hAnsi="Arial"/>
                <w:b/>
                <w:bCs/>
                <w:sz w:val="18"/>
                <w:szCs w:val="18"/>
              </w:rPr>
              <w:t xml:space="preserve">Umgesetzt</w:t>
            </w:r>
          </w:p>
        </w:tc>
        <w:tc>
          <w:tcPr>
            <w:tcW w:type="dxa" w:w="27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color w:val="5F6368"/>
                <w:sz w:val="16"/>
                <w:szCs w:val="16"/>
              </w:rPr>
              <w:t xml:space="preserve">kms.tf, database.tf (storage_encrypted, kms_key_id), audit.tf, edge.tf</w:t>
            </w:r>
          </w:p>
        </w:tc>
      </w:tr>
      <w:tr>
        <w:trPr>
          <w:cantSplit w:val="false"/>
        </w:trPr>
        <w:tc>
          <w:tcPr>
            <w:tcW w:type="dxa" w:w="6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b/>
                <w:bCs/>
                <w:sz w:val="18"/>
                <w:szCs w:val="18"/>
              </w:rPr>
              <w:t xml:space="preserve">C3</w:t>
            </w:r>
          </w:p>
        </w:tc>
        <w:tc>
          <w:tcPr>
            <w:tcW w:type="dxa" w:w="28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Schlüsselverwaltung und -rotation?</w:t>
            </w:r>
          </w:p>
        </w:tc>
        <w:tc>
          <w:tcPr>
            <w:tcW w:type="dxa" w:w="717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Schlüssel in AWS KMS (HSM-gestützt, FIPS-140-validiert). Automatische Rotation: Daten- und Log-Schlüssel jährlich, Token-Schlüssel alle 90 Tage. Lösch-Wartezeit 30 Tage. Getrennte Schlüssel je Zweck (Daten, Logs, Tokens, Signatur). Eigene Schlüssel des Kunden (External Key Store/BYOK) sind auf Anfrage möglich.</w:t>
            </w:r>
          </w:p>
        </w:tc>
        <w:tc>
          <w:tcPr>
            <w:tcW w:type="dxa" w:w="1150"/>
            <w:tcBorders>
              <w:top w:val="single" w:color="C8CCD4" w:sz="4"/>
              <w:left w:val="single" w:color="C8CCD4" w:sz="4"/>
              <w:bottom w:val="single" w:color="C8CCD4" w:sz="4"/>
              <w:right w:val="single" w:color="C8CCD4" w:sz="4"/>
            </w:tcBorders>
            <w:shd w:fill="DCEFE3" w:color="auto" w:val="clear"/>
            <w:tcMar>
              <w:top w:type="dxa" w:w="80"/>
              <w:left w:type="dxa" w:w="110"/>
              <w:bottom w:type="dxa" w:w="80"/>
              <w:right w:type="dxa" w:w="110"/>
            </w:tcMar>
          </w:tcPr>
          <w:p>
            <w:pPr>
              <w:spacing w:after="60"/>
            </w:pPr>
            <w:r>
              <w:rPr>
                <w:rFonts w:ascii="Arial" w:cs="Arial" w:eastAsia="Arial" w:hAnsi="Arial"/>
                <w:b/>
                <w:bCs/>
                <w:sz w:val="18"/>
                <w:szCs w:val="18"/>
              </w:rPr>
              <w:t xml:space="preserve">Umgesetzt</w:t>
            </w:r>
          </w:p>
        </w:tc>
        <w:tc>
          <w:tcPr>
            <w:tcW w:type="dxa" w:w="27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color w:val="5F6368"/>
                <w:sz w:val="16"/>
                <w:szCs w:val="16"/>
              </w:rPr>
              <w:t xml:space="preserve">kms.tf (enable_key_rotation, rotation_period_in_days)</w:t>
            </w:r>
          </w:p>
        </w:tc>
      </w:tr>
      <w:tr>
        <w:trPr>
          <w:cantSplit w:val="false"/>
        </w:trPr>
        <w:tc>
          <w:tcPr>
            <w:tcW w:type="dxa" w:w="6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b/>
                <w:bCs/>
                <w:sz w:val="18"/>
                <w:szCs w:val="18"/>
              </w:rPr>
              <w:t xml:space="preserve">C4</w:t>
            </w:r>
          </w:p>
        </w:tc>
        <w:tc>
          <w:tcPr>
            <w:tcW w:type="dxa" w:w="28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Wie authentifiziert sich CalenSync gegenüber Microsoft Entra ID?</w:t>
            </w:r>
          </w:p>
        </w:tc>
        <w:tc>
          <w:tcPr>
            <w:tcW w:type="dxa" w:w="717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Mit Zertifikat statt Client-Secret. Der private Schlüssel ist ein asymmetrischer KMS-Schlüssel und verlässt AWS nie. Signiert wird per kms:Sign. Das Backend speichert kein Geheimnis, das abfließen könnte.</w:t>
            </w:r>
          </w:p>
        </w:tc>
        <w:tc>
          <w:tcPr>
            <w:tcW w:type="dxa" w:w="1150"/>
            <w:tcBorders>
              <w:top w:val="single" w:color="C8CCD4" w:sz="4"/>
              <w:left w:val="single" w:color="C8CCD4" w:sz="4"/>
              <w:bottom w:val="single" w:color="C8CCD4" w:sz="4"/>
              <w:right w:val="single" w:color="C8CCD4" w:sz="4"/>
            </w:tcBorders>
            <w:shd w:fill="DCEFE3" w:color="auto" w:val="clear"/>
            <w:tcMar>
              <w:top w:type="dxa" w:w="80"/>
              <w:left w:type="dxa" w:w="110"/>
              <w:bottom w:type="dxa" w:w="80"/>
              <w:right w:type="dxa" w:w="110"/>
            </w:tcMar>
          </w:tcPr>
          <w:p>
            <w:pPr>
              <w:spacing w:after="60"/>
            </w:pPr>
            <w:r>
              <w:rPr>
                <w:rFonts w:ascii="Arial" w:cs="Arial" w:eastAsia="Arial" w:hAnsi="Arial"/>
                <w:b/>
                <w:bCs/>
                <w:sz w:val="18"/>
                <w:szCs w:val="18"/>
              </w:rPr>
              <w:t xml:space="preserve">Umgesetzt</w:t>
            </w:r>
          </w:p>
        </w:tc>
        <w:tc>
          <w:tcPr>
            <w:tcW w:type="dxa" w:w="27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color w:val="5F6368"/>
                <w:sz w:val="16"/>
                <w:szCs w:val="16"/>
              </w:rPr>
              <w:t xml:space="preserve">kms.tf (aws_kms_key.signing), ecs.tf (Task-Rolle: kms:Sign)</w:t>
            </w:r>
          </w:p>
        </w:tc>
      </w:tr>
    </w:tbl>
    <w:p>
      <w:pPr>
        <w:pStyle w:val="Heading1"/>
        <w:spacing w:after="160" w:before="360"/>
      </w:pPr>
      <w:r>
        <w:rPr>
          <w:rFonts w:ascii="Arial" w:cs="Arial" w:eastAsia="Arial" w:hAnsi="Arial"/>
        </w:rPr>
        <w:t xml:space="preserve">D · Identitäten, Zugriff und Governance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
        <w:gridCol w:w="2850"/>
        <w:gridCol w:w="7170"/>
        <w:gridCol w:w="1150"/>
        <w:gridCol w:w="2750"/>
      </w:tblGrid>
      <w:tr>
        <w:trPr>
          <w:tblHeader/>
        </w:trPr>
        <w:tc>
          <w:tcPr>
            <w:tcW w:type="dxa" w:w="650"/>
            <w:tcBorders>
              <w:top w:val="single" w:color="C8CCD4" w:sz="4"/>
              <w:left w:val="single" w:color="C8CCD4" w:sz="4"/>
              <w:bottom w:val="single" w:color="C8CCD4" w:sz="4"/>
              <w:right w:val="single" w:color="C8CCD4" w:sz="4"/>
            </w:tcBorders>
            <w:shd w:fill="E8E7F7" w:color="auto" w:val="clear"/>
            <w:tcMar>
              <w:top w:type="dxa" w:w="80"/>
              <w:left w:type="dxa" w:w="110"/>
              <w:bottom w:type="dxa" w:w="80"/>
              <w:right w:type="dxa" w:w="110"/>
            </w:tcMar>
          </w:tcPr>
          <w:p>
            <w:pPr>
              <w:spacing w:after="60"/>
            </w:pPr>
            <w:r>
              <w:rPr>
                <w:rFonts w:ascii="Arial" w:cs="Arial" w:eastAsia="Arial" w:hAnsi="Arial"/>
                <w:b/>
                <w:bCs/>
                <w:sz w:val="18"/>
                <w:szCs w:val="18"/>
              </w:rPr>
              <w:t xml:space="preserve">Nr.</w:t>
            </w:r>
          </w:p>
        </w:tc>
        <w:tc>
          <w:tcPr>
            <w:tcW w:type="dxa" w:w="2850"/>
            <w:tcBorders>
              <w:top w:val="single" w:color="C8CCD4" w:sz="4"/>
              <w:left w:val="single" w:color="C8CCD4" w:sz="4"/>
              <w:bottom w:val="single" w:color="C8CCD4" w:sz="4"/>
              <w:right w:val="single" w:color="C8CCD4" w:sz="4"/>
            </w:tcBorders>
            <w:shd w:fill="E8E7F7" w:color="auto" w:val="clear"/>
            <w:tcMar>
              <w:top w:type="dxa" w:w="80"/>
              <w:left w:type="dxa" w:w="110"/>
              <w:bottom w:type="dxa" w:w="80"/>
              <w:right w:type="dxa" w:w="110"/>
            </w:tcMar>
          </w:tcPr>
          <w:p>
            <w:pPr>
              <w:spacing w:after="60"/>
            </w:pPr>
            <w:r>
              <w:rPr>
                <w:rFonts w:ascii="Arial" w:cs="Arial" w:eastAsia="Arial" w:hAnsi="Arial"/>
                <w:b/>
                <w:bCs/>
                <w:sz w:val="18"/>
                <w:szCs w:val="18"/>
              </w:rPr>
              <w:t xml:space="preserve">Frage des Auftraggebers</w:t>
            </w:r>
          </w:p>
        </w:tc>
        <w:tc>
          <w:tcPr>
            <w:tcW w:type="dxa" w:w="7170"/>
            <w:tcBorders>
              <w:top w:val="single" w:color="C8CCD4" w:sz="4"/>
              <w:left w:val="single" w:color="C8CCD4" w:sz="4"/>
              <w:bottom w:val="single" w:color="C8CCD4" w:sz="4"/>
              <w:right w:val="single" w:color="C8CCD4" w:sz="4"/>
            </w:tcBorders>
            <w:shd w:fill="E8E7F7" w:color="auto" w:val="clear"/>
            <w:tcMar>
              <w:top w:type="dxa" w:w="80"/>
              <w:left w:type="dxa" w:w="110"/>
              <w:bottom w:type="dxa" w:w="80"/>
              <w:right w:type="dxa" w:w="110"/>
            </w:tcMar>
          </w:tcPr>
          <w:p>
            <w:pPr>
              <w:spacing w:after="60"/>
            </w:pPr>
            <w:r>
              <w:rPr>
                <w:rFonts w:ascii="Arial" w:cs="Arial" w:eastAsia="Arial" w:hAnsi="Arial"/>
                <w:b/>
                <w:bCs/>
                <w:sz w:val="18"/>
                <w:szCs w:val="18"/>
              </w:rPr>
              <w:t xml:space="preserve">Antwort des Betreibers</w:t>
            </w:r>
          </w:p>
        </w:tc>
        <w:tc>
          <w:tcPr>
            <w:tcW w:type="dxa" w:w="1150"/>
            <w:tcBorders>
              <w:top w:val="single" w:color="C8CCD4" w:sz="4"/>
              <w:left w:val="single" w:color="C8CCD4" w:sz="4"/>
              <w:bottom w:val="single" w:color="C8CCD4" w:sz="4"/>
              <w:right w:val="single" w:color="C8CCD4" w:sz="4"/>
            </w:tcBorders>
            <w:shd w:fill="E8E7F7" w:color="auto" w:val="clear"/>
            <w:tcMar>
              <w:top w:type="dxa" w:w="80"/>
              <w:left w:type="dxa" w:w="110"/>
              <w:bottom w:type="dxa" w:w="80"/>
              <w:right w:type="dxa" w:w="110"/>
            </w:tcMar>
          </w:tcPr>
          <w:p>
            <w:pPr>
              <w:spacing w:after="60"/>
            </w:pPr>
            <w:r>
              <w:rPr>
                <w:rFonts w:ascii="Arial" w:cs="Arial" w:eastAsia="Arial" w:hAnsi="Arial"/>
                <w:b/>
                <w:bCs/>
                <w:sz w:val="18"/>
                <w:szCs w:val="18"/>
              </w:rPr>
              <w:t xml:space="preserve">Status</w:t>
            </w:r>
          </w:p>
        </w:tc>
        <w:tc>
          <w:tcPr>
            <w:tcW w:type="dxa" w:w="2750"/>
            <w:tcBorders>
              <w:top w:val="single" w:color="C8CCD4" w:sz="4"/>
              <w:left w:val="single" w:color="C8CCD4" w:sz="4"/>
              <w:bottom w:val="single" w:color="C8CCD4" w:sz="4"/>
              <w:right w:val="single" w:color="C8CCD4" w:sz="4"/>
            </w:tcBorders>
            <w:shd w:fill="E8E7F7" w:color="auto" w:val="clear"/>
            <w:tcMar>
              <w:top w:type="dxa" w:w="80"/>
              <w:left w:type="dxa" w:w="110"/>
              <w:bottom w:type="dxa" w:w="80"/>
              <w:right w:type="dxa" w:w="110"/>
            </w:tcMar>
          </w:tcPr>
          <w:p>
            <w:pPr>
              <w:spacing w:after="60"/>
            </w:pPr>
            <w:r>
              <w:rPr>
                <w:rFonts w:ascii="Arial" w:cs="Arial" w:eastAsia="Arial" w:hAnsi="Arial"/>
                <w:b/>
                <w:bCs/>
                <w:sz w:val="18"/>
                <w:szCs w:val="18"/>
              </w:rPr>
              <w:t xml:space="preserve">Nachweis / Fundstelle</w:t>
            </w:r>
          </w:p>
        </w:tc>
      </w:tr>
      <w:tr>
        <w:trPr>
          <w:cantSplit w:val="false"/>
        </w:trPr>
        <w:tc>
          <w:tcPr>
            <w:tcW w:type="dxa" w:w="6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b/>
                <w:bCs/>
                <w:sz w:val="18"/>
                <w:szCs w:val="18"/>
              </w:rPr>
              <w:t xml:space="preserve">D1</w:t>
            </w:r>
          </w:p>
        </w:tc>
        <w:tc>
          <w:tcPr>
            <w:tcW w:type="dxa" w:w="28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Single Sign-on und MFA?</w:t>
            </w:r>
          </w:p>
        </w:tc>
        <w:tc>
          <w:tcPr>
            <w:tcW w:type="dxa" w:w="717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Anmeldung am Dashboard über SAML 2.0 oder OpenID Connect gegen Entra ID bzw. Okta des Auftraggebers. MFA, Gerätestatus und Standort steuert der Auftraggeber über eigene Conditional-Access-Richtlinien. CalenSync führt keine eigenen Passwörter für Enterprise-Nutzer.</w:t>
            </w:r>
          </w:p>
        </w:tc>
        <w:tc>
          <w:tcPr>
            <w:tcW w:type="dxa" w:w="1150"/>
            <w:tcBorders>
              <w:top w:val="single" w:color="C8CCD4" w:sz="4"/>
              <w:left w:val="single" w:color="C8CCD4" w:sz="4"/>
              <w:bottom w:val="single" w:color="C8CCD4" w:sz="4"/>
              <w:right w:val="single" w:color="C8CCD4" w:sz="4"/>
            </w:tcBorders>
            <w:shd w:fill="FFF3CD" w:color="auto" w:val="clear"/>
            <w:tcMar>
              <w:top w:type="dxa" w:w="80"/>
              <w:left w:type="dxa" w:w="110"/>
              <w:bottom w:type="dxa" w:w="80"/>
              <w:right w:type="dxa" w:w="110"/>
            </w:tcMar>
          </w:tcPr>
          <w:p>
            <w:pPr>
              <w:spacing w:after="60"/>
            </w:pPr>
            <w:r>
              <w:rPr>
                <w:rFonts w:ascii="Arial" w:cs="Arial" w:eastAsia="Arial" w:hAnsi="Arial"/>
                <w:b/>
                <w:bCs/>
                <w:sz w:val="18"/>
                <w:szCs w:val="18"/>
              </w:rPr>
              <w:t xml:space="preserve">Zugesagt</w:t>
            </w:r>
          </w:p>
        </w:tc>
        <w:tc>
          <w:tcPr>
            <w:tcW w:type="dxa" w:w="27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color w:val="5F6368"/>
                <w:sz w:val="16"/>
                <w:szCs w:val="16"/>
              </w:rPr>
              <w:t xml:space="preserve">Integrationshandbuch SSO (vor Rollout abzunehmen)</w:t>
            </w:r>
          </w:p>
        </w:tc>
      </w:tr>
      <w:tr>
        <w:trPr>
          <w:cantSplit w:val="false"/>
        </w:trPr>
        <w:tc>
          <w:tcPr>
            <w:tcW w:type="dxa" w:w="6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b/>
                <w:bCs/>
                <w:sz w:val="18"/>
                <w:szCs w:val="18"/>
              </w:rPr>
              <w:t xml:space="preserve">D2</w:t>
            </w:r>
          </w:p>
        </w:tc>
        <w:tc>
          <w:tcPr>
            <w:tcW w:type="dxa" w:w="28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Automatische Provisionierung und Offboarding?</w:t>
            </w:r>
          </w:p>
        </w:tc>
        <w:tc>
          <w:tcPr>
            <w:tcW w:type="dxa" w:w="717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SCIM 2.0 (/Users: POST, GET, PUT, PATCH, DELETE). Deaktiviert der Auftraggeber einen Account in Entra ID, sendet Entra PATCH active=false. CalenSync kappt im selben Request in einer Transaktion alle Sync-Pipelines des Nutzers, vernichtet etwaige Provider-Tokens und beauftragt das Beenden der Webhook-Abos. Bei einer Löschung (DELETE) werden Name, E-Mail-Adresse und externe Kennungen in derselben Transaktion entfernt. Erst danach antwortet CalenSync. Ein Hintergrundprozess beendet die Abos bei Microsoft bzw. Google und wiederholt das bei Störungen automatisch; erst danach wird der verbleibende, nicht mehr personenbeziehbare Datensatz endgültig gelöscht (spätestens nach 8 Tagen). Bis dahin verwirft CalenSync jede eingehende Benachrichtigung zu diesem Nutzer ungelesen. Der Vorgang ist idempotent, ein Retry heilt Teilabbrüche. Eine Reaktivierung gibt Pipelines nicht automatisch frei.</w:t>
            </w:r>
          </w:p>
          <w:p>
            <w:pPr>
              <w:spacing w:after="60"/>
            </w:pPr>
            <w:r>
              <w:rPr>
                <w:rFonts w:ascii="Arial" w:cs="Arial" w:eastAsia="Arial" w:hAnsi="Arial"/>
                <w:b/>
                <w:bCs/>
                <w:sz w:val="18"/>
                <w:szCs w:val="18"/>
              </w:rPr>
              <w:t xml:space="preserve">Latenz:</w:t>
            </w:r>
            <w:r>
              <w:rPr>
                <w:rFonts w:ascii="Arial" w:cs="Arial" w:eastAsia="Arial" w:hAnsi="Arial"/>
                <w:sz w:val="18"/>
                <w:szCs w:val="18"/>
              </w:rPr>
              <w:t xml:space="preserve"> Entra überträgt Änderungen im Provisionierungszyklus (inkrementell typischerweise bis ca. 40 Minuten). Für sofortige Wirkung gehört „Bei Bedarf bereitstellen“ ins Offboarding-Runbook des Auftraggebers.</w:t>
            </w:r>
          </w:p>
        </w:tc>
        <w:tc>
          <w:tcPr>
            <w:tcW w:type="dxa" w:w="1150"/>
            <w:tcBorders>
              <w:top w:val="single" w:color="C8CCD4" w:sz="4"/>
              <w:left w:val="single" w:color="C8CCD4" w:sz="4"/>
              <w:bottom w:val="single" w:color="C8CCD4" w:sz="4"/>
              <w:right w:val="single" w:color="C8CCD4" w:sz="4"/>
            </w:tcBorders>
            <w:shd w:fill="DCEFE3" w:color="auto" w:val="clear"/>
            <w:tcMar>
              <w:top w:type="dxa" w:w="80"/>
              <w:left w:type="dxa" w:w="110"/>
              <w:bottom w:type="dxa" w:w="80"/>
              <w:right w:type="dxa" w:w="110"/>
            </w:tcMar>
          </w:tcPr>
          <w:p>
            <w:pPr>
              <w:spacing w:after="60"/>
            </w:pPr>
            <w:r>
              <w:rPr>
                <w:rFonts w:ascii="Arial" w:cs="Arial" w:eastAsia="Arial" w:hAnsi="Arial"/>
                <w:b/>
                <w:bCs/>
                <w:sz w:val="18"/>
                <w:szCs w:val="18"/>
              </w:rPr>
              <w:t xml:space="preserve">Umgesetzt</w:t>
            </w:r>
          </w:p>
        </w:tc>
        <w:tc>
          <w:tcPr>
            <w:tcW w:type="dxa" w:w="27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color w:val="5F6368"/>
                <w:sz w:val="16"/>
                <w:szCs w:val="16"/>
              </w:rPr>
              <w:t xml:space="preserve">scim/src/scimUsers.ts, scim/test/scim.test.ts (16 Tests, u. a. Entra- und Okta-Varianten, Idempotenz, DELETE)</w:t>
            </w:r>
          </w:p>
        </w:tc>
      </w:tr>
      <w:tr>
        <w:trPr>
          <w:cantSplit w:val="false"/>
        </w:trPr>
        <w:tc>
          <w:tcPr>
            <w:tcW w:type="dxa" w:w="6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b/>
                <w:bCs/>
                <w:sz w:val="18"/>
                <w:szCs w:val="18"/>
              </w:rPr>
              <w:t xml:space="preserve">D3</w:t>
            </w:r>
          </w:p>
        </w:tc>
        <w:tc>
          <w:tcPr>
            <w:tcW w:type="dxa" w:w="28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Wie wird verhindert, dass einzelne Mitarbeitende OAuth-Zugriffe freigeben (Schatten-IT)?</w:t>
            </w:r>
          </w:p>
        </w:tc>
        <w:tc>
          <w:tcPr>
            <w:tcW w:type="dxa" w:w="717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Benutzer-Einwilligung wird mandantenweit deaktiviert. Die IT erteilt einen einmaligen Admin-Consent. Die Kalenderberechtigung wird über Exchange Online „RBAC for Applications“ auf eine mailaktivierte Sicherheitsgruppe begrenzt, mit zusätzlichem Ausschluss nach Abteilung (z. B. Vorstand, Personal). Postfächer außerhalb sind für die App technisch nicht erreichbar (Graph antwortet mit 403). Nur für das Ziel „zweites Konto“ benötigt die App zusätzlich die Anwendungsberechtigung User.Read.All (bzw. User.ReadBasic.All beim Abgleich über die Objekt-ID). Sie wirkt mandantenweit auf Verzeichnisdaten, nicht auf Postfächer; CalenSync liest damit nur die Objekt-ID und das konfigurierte Identitätsmerkmal (z. B. Personalnummer) einzelner Nutzer, um zu prüfen, dass Quell- und Zielpostfach derselben Person gehören, und speichert den Wert nicht.</w:t>
            </w:r>
          </w:p>
        </w:tc>
        <w:tc>
          <w:tcPr>
            <w:tcW w:type="dxa" w:w="1150"/>
            <w:tcBorders>
              <w:top w:val="single" w:color="C8CCD4" w:sz="4"/>
              <w:left w:val="single" w:color="C8CCD4" w:sz="4"/>
              <w:bottom w:val="single" w:color="C8CCD4" w:sz="4"/>
              <w:right w:val="single" w:color="C8CCD4" w:sz="4"/>
            </w:tcBorders>
            <w:shd w:fill="DCEFE3" w:color="auto" w:val="clear"/>
            <w:tcMar>
              <w:top w:type="dxa" w:w="80"/>
              <w:left w:type="dxa" w:w="110"/>
              <w:bottom w:type="dxa" w:w="80"/>
              <w:right w:type="dxa" w:w="110"/>
            </w:tcMar>
          </w:tcPr>
          <w:p>
            <w:pPr>
              <w:spacing w:after="60"/>
            </w:pPr>
            <w:r>
              <w:rPr>
                <w:rFonts w:ascii="Arial" w:cs="Arial" w:eastAsia="Arial" w:hAnsi="Arial"/>
                <w:b/>
                <w:bCs/>
                <w:sz w:val="18"/>
                <w:szCs w:val="18"/>
              </w:rPr>
              <w:t xml:space="preserve">Umgesetzt</w:t>
            </w:r>
          </w:p>
        </w:tc>
        <w:tc>
          <w:tcPr>
            <w:tcW w:type="dxa" w:w="27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color w:val="5F6368"/>
                <w:sz w:val="16"/>
                <w:szCs w:val="16"/>
              </w:rPr>
              <w:t xml:space="preserve">powershell/Set-CalenSyncMailboxScope.ps1 inkl. JSON-Nachweis; ANLEITUNG-Admin-Consent.md</w:t>
            </w:r>
          </w:p>
        </w:tc>
      </w:tr>
      <w:tr>
        <w:trPr>
          <w:cantSplit w:val="false"/>
        </w:trPr>
        <w:tc>
          <w:tcPr>
            <w:tcW w:type="dxa" w:w="6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b/>
                <w:bCs/>
                <w:sz w:val="18"/>
                <w:szCs w:val="18"/>
              </w:rPr>
              <w:t xml:space="preserve">D4</w:t>
            </w:r>
          </w:p>
        </w:tc>
        <w:tc>
          <w:tcPr>
            <w:tcW w:type="dxa" w:w="28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Gilt die gleiche technische Begrenzung für Google Workspace?</w:t>
            </w:r>
          </w:p>
        </w:tc>
        <w:tc>
          <w:tcPr>
            <w:tcW w:type="dxa" w:w="717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Nein. Google bietet keine plattformseitige Begrenzung domänenweiter Delegation auf eine Nutzergruppe. Google Workspace ist bei CalenSync nur Ziel (zweites Konto), nie Quelle. CalenSync begrenzt den Zugriff softwareseitig: Scope calendar.events nur für Google-Konten in freigegebenen Domains, die nachweislich einem per SCIM provisionierten, aktiven Mitglied der Freigabegruppe gehören (Prüfung bei Anlage und alle 24 Stunden: Google-Mitarbeiter-ID gleich Entra-employeeId); nach einem Widerruf werden nur noch die eigenen Termine gelöscht. Der zweite Scope admin.directory.user.readonly wird ausschließlich über ein eigenes Directory-Konto mit der Rolle „Nutzer: Lesen“ genutzt. Kein Dienstkonto-Schlüssel: Signatur über IAM signJwt mit Workload Identity Federation aus der ECS-Task-Rolle. Abgewiesene Zugriffe lösen einen Betriebsalarm aus. Alternativ: OAuth-App nur für eine Organisationseinheit als vertrauenswürdig freigeben.</w:t>
            </w:r>
          </w:p>
        </w:tc>
        <w:tc>
          <w:tcPr>
            <w:tcW w:type="dxa" w:w="1150"/>
            <w:tcBorders>
              <w:top w:val="single" w:color="C8CCD4" w:sz="4"/>
              <w:left w:val="single" w:color="C8CCD4" w:sz="4"/>
              <w:bottom w:val="single" w:color="C8CCD4" w:sz="4"/>
              <w:right w:val="single" w:color="C8CCD4" w:sz="4"/>
            </w:tcBorders>
            <w:shd w:fill="FFF3CD" w:color="auto" w:val="clear"/>
            <w:tcMar>
              <w:top w:type="dxa" w:w="80"/>
              <w:left w:type="dxa" w:w="110"/>
              <w:bottom w:type="dxa" w:w="80"/>
              <w:right w:type="dxa" w:w="110"/>
            </w:tcMar>
          </w:tcPr>
          <w:p>
            <w:pPr>
              <w:spacing w:after="60"/>
            </w:pPr>
            <w:r>
              <w:rPr>
                <w:rFonts w:ascii="Arial" w:cs="Arial" w:eastAsia="Arial" w:hAnsi="Arial"/>
                <w:b/>
                <w:bCs/>
                <w:sz w:val="18"/>
                <w:szCs w:val="18"/>
              </w:rPr>
              <w:t xml:space="preserve">Zugesagt</w:t>
            </w:r>
          </w:p>
        </w:tc>
        <w:tc>
          <w:tcPr>
            <w:tcW w:type="dxa" w:w="27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color w:val="5F6368"/>
                <w:sz w:val="16"/>
                <w:szCs w:val="16"/>
              </w:rPr>
              <w:t xml:space="preserve">ANLEITUNG-Admin-Consent.md, Abschnitt Google</w:t>
            </w:r>
          </w:p>
        </w:tc>
      </w:tr>
      <w:tr>
        <w:trPr>
          <w:cantSplit w:val="false"/>
        </w:trPr>
        <w:tc>
          <w:tcPr>
            <w:tcW w:type="dxa" w:w="6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b/>
                <w:bCs/>
                <w:sz w:val="18"/>
                <w:szCs w:val="18"/>
              </w:rPr>
              <w:t xml:space="preserve">D5</w:t>
            </w:r>
          </w:p>
        </w:tc>
        <w:tc>
          <w:tcPr>
            <w:tcW w:type="dxa" w:w="28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Zugriff von Betreiber-Personal auf Produktionsdaten?</w:t>
            </w:r>
          </w:p>
        </w:tc>
        <w:tc>
          <w:tcPr>
            <w:tcW w:type="dxa" w:w="717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Kein ständiger Zugriff. Interaktiver Container-Zugriff (ECS Exec) ist deaktiviert. Im Notfall (Break-Glass) erfolgt er nur nach Vier-Augen-Freigabe, zeitlich begrenzt und vollständig protokolliert. Die Anwendung meldet sich ausschließlich per kurzlebigem IAM-Token an der Datenbank an (15 Minuten gültig, kein Anwendungspasswort). Das für Notfälle nötige Master-Passwort erzeugt und rotiert RDS selbst in Secrets Manager; es erscheint weder im Code noch in der Terraform-Konfiguration oder deren Zustandsdatei.</w:t>
            </w:r>
          </w:p>
        </w:tc>
        <w:tc>
          <w:tcPr>
            <w:tcW w:type="dxa" w:w="1150"/>
            <w:tcBorders>
              <w:top w:val="single" w:color="C8CCD4" w:sz="4"/>
              <w:left w:val="single" w:color="C8CCD4" w:sz="4"/>
              <w:bottom w:val="single" w:color="C8CCD4" w:sz="4"/>
              <w:right w:val="single" w:color="C8CCD4" w:sz="4"/>
            </w:tcBorders>
            <w:shd w:fill="FFF3CD" w:color="auto" w:val="clear"/>
            <w:tcMar>
              <w:top w:type="dxa" w:w="80"/>
              <w:left w:type="dxa" w:w="110"/>
              <w:bottom w:type="dxa" w:w="80"/>
              <w:right w:type="dxa" w:w="110"/>
            </w:tcMar>
          </w:tcPr>
          <w:p>
            <w:pPr>
              <w:spacing w:after="60"/>
            </w:pPr>
            <w:r>
              <w:rPr>
                <w:rFonts w:ascii="Arial" w:cs="Arial" w:eastAsia="Arial" w:hAnsi="Arial"/>
                <w:b/>
                <w:bCs/>
                <w:sz w:val="18"/>
                <w:szCs w:val="18"/>
              </w:rPr>
              <w:t xml:space="preserve">Zugesagt</w:t>
            </w:r>
          </w:p>
        </w:tc>
        <w:tc>
          <w:tcPr>
            <w:tcW w:type="dxa" w:w="27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color w:val="5F6368"/>
                <w:sz w:val="16"/>
                <w:szCs w:val="16"/>
              </w:rPr>
              <w:t xml:space="preserve">ecs.tf (enable_execute_command = false, Exec-Audit-Log), Betriebshandbuch Break-Glass</w:t>
            </w:r>
          </w:p>
        </w:tc>
      </w:tr>
    </w:tbl>
    <w:p>
      <w:pPr>
        <w:pStyle w:val="Heading1"/>
        <w:spacing w:after="160" w:before="360"/>
      </w:pPr>
      <w:r>
        <w:rPr>
          <w:rFonts w:ascii="Arial" w:cs="Arial" w:eastAsia="Arial" w:hAnsi="Arial"/>
        </w:rPr>
        <w:t xml:space="preserve">E · Protokollierung, Audit und SIEM</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
        <w:gridCol w:w="2850"/>
        <w:gridCol w:w="7170"/>
        <w:gridCol w:w="1150"/>
        <w:gridCol w:w="2750"/>
      </w:tblGrid>
      <w:tr>
        <w:trPr>
          <w:tblHeader/>
        </w:trPr>
        <w:tc>
          <w:tcPr>
            <w:tcW w:type="dxa" w:w="650"/>
            <w:tcBorders>
              <w:top w:val="single" w:color="C8CCD4" w:sz="4"/>
              <w:left w:val="single" w:color="C8CCD4" w:sz="4"/>
              <w:bottom w:val="single" w:color="C8CCD4" w:sz="4"/>
              <w:right w:val="single" w:color="C8CCD4" w:sz="4"/>
            </w:tcBorders>
            <w:shd w:fill="E8E7F7" w:color="auto" w:val="clear"/>
            <w:tcMar>
              <w:top w:type="dxa" w:w="80"/>
              <w:left w:type="dxa" w:w="110"/>
              <w:bottom w:type="dxa" w:w="80"/>
              <w:right w:type="dxa" w:w="110"/>
            </w:tcMar>
          </w:tcPr>
          <w:p>
            <w:pPr>
              <w:spacing w:after="60"/>
            </w:pPr>
            <w:r>
              <w:rPr>
                <w:rFonts w:ascii="Arial" w:cs="Arial" w:eastAsia="Arial" w:hAnsi="Arial"/>
                <w:b/>
                <w:bCs/>
                <w:sz w:val="18"/>
                <w:szCs w:val="18"/>
              </w:rPr>
              <w:t xml:space="preserve">Nr.</w:t>
            </w:r>
          </w:p>
        </w:tc>
        <w:tc>
          <w:tcPr>
            <w:tcW w:type="dxa" w:w="2850"/>
            <w:tcBorders>
              <w:top w:val="single" w:color="C8CCD4" w:sz="4"/>
              <w:left w:val="single" w:color="C8CCD4" w:sz="4"/>
              <w:bottom w:val="single" w:color="C8CCD4" w:sz="4"/>
              <w:right w:val="single" w:color="C8CCD4" w:sz="4"/>
            </w:tcBorders>
            <w:shd w:fill="E8E7F7" w:color="auto" w:val="clear"/>
            <w:tcMar>
              <w:top w:type="dxa" w:w="80"/>
              <w:left w:type="dxa" w:w="110"/>
              <w:bottom w:type="dxa" w:w="80"/>
              <w:right w:type="dxa" w:w="110"/>
            </w:tcMar>
          </w:tcPr>
          <w:p>
            <w:pPr>
              <w:spacing w:after="60"/>
            </w:pPr>
            <w:r>
              <w:rPr>
                <w:rFonts w:ascii="Arial" w:cs="Arial" w:eastAsia="Arial" w:hAnsi="Arial"/>
                <w:b/>
                <w:bCs/>
                <w:sz w:val="18"/>
                <w:szCs w:val="18"/>
              </w:rPr>
              <w:t xml:space="preserve">Frage des Auftraggebers</w:t>
            </w:r>
          </w:p>
        </w:tc>
        <w:tc>
          <w:tcPr>
            <w:tcW w:type="dxa" w:w="7170"/>
            <w:tcBorders>
              <w:top w:val="single" w:color="C8CCD4" w:sz="4"/>
              <w:left w:val="single" w:color="C8CCD4" w:sz="4"/>
              <w:bottom w:val="single" w:color="C8CCD4" w:sz="4"/>
              <w:right w:val="single" w:color="C8CCD4" w:sz="4"/>
            </w:tcBorders>
            <w:shd w:fill="E8E7F7" w:color="auto" w:val="clear"/>
            <w:tcMar>
              <w:top w:type="dxa" w:w="80"/>
              <w:left w:type="dxa" w:w="110"/>
              <w:bottom w:type="dxa" w:w="80"/>
              <w:right w:type="dxa" w:w="110"/>
            </w:tcMar>
          </w:tcPr>
          <w:p>
            <w:pPr>
              <w:spacing w:after="60"/>
            </w:pPr>
            <w:r>
              <w:rPr>
                <w:rFonts w:ascii="Arial" w:cs="Arial" w:eastAsia="Arial" w:hAnsi="Arial"/>
                <w:b/>
                <w:bCs/>
                <w:sz w:val="18"/>
                <w:szCs w:val="18"/>
              </w:rPr>
              <w:t xml:space="preserve">Antwort des Betreibers</w:t>
            </w:r>
          </w:p>
        </w:tc>
        <w:tc>
          <w:tcPr>
            <w:tcW w:type="dxa" w:w="1150"/>
            <w:tcBorders>
              <w:top w:val="single" w:color="C8CCD4" w:sz="4"/>
              <w:left w:val="single" w:color="C8CCD4" w:sz="4"/>
              <w:bottom w:val="single" w:color="C8CCD4" w:sz="4"/>
              <w:right w:val="single" w:color="C8CCD4" w:sz="4"/>
            </w:tcBorders>
            <w:shd w:fill="E8E7F7" w:color="auto" w:val="clear"/>
            <w:tcMar>
              <w:top w:type="dxa" w:w="80"/>
              <w:left w:type="dxa" w:w="110"/>
              <w:bottom w:type="dxa" w:w="80"/>
              <w:right w:type="dxa" w:w="110"/>
            </w:tcMar>
          </w:tcPr>
          <w:p>
            <w:pPr>
              <w:spacing w:after="60"/>
            </w:pPr>
            <w:r>
              <w:rPr>
                <w:rFonts w:ascii="Arial" w:cs="Arial" w:eastAsia="Arial" w:hAnsi="Arial"/>
                <w:b/>
                <w:bCs/>
                <w:sz w:val="18"/>
                <w:szCs w:val="18"/>
              </w:rPr>
              <w:t xml:space="preserve">Status</w:t>
            </w:r>
          </w:p>
        </w:tc>
        <w:tc>
          <w:tcPr>
            <w:tcW w:type="dxa" w:w="2750"/>
            <w:tcBorders>
              <w:top w:val="single" w:color="C8CCD4" w:sz="4"/>
              <w:left w:val="single" w:color="C8CCD4" w:sz="4"/>
              <w:bottom w:val="single" w:color="C8CCD4" w:sz="4"/>
              <w:right w:val="single" w:color="C8CCD4" w:sz="4"/>
            </w:tcBorders>
            <w:shd w:fill="E8E7F7" w:color="auto" w:val="clear"/>
            <w:tcMar>
              <w:top w:type="dxa" w:w="80"/>
              <w:left w:type="dxa" w:w="110"/>
              <w:bottom w:type="dxa" w:w="80"/>
              <w:right w:type="dxa" w:w="110"/>
            </w:tcMar>
          </w:tcPr>
          <w:p>
            <w:pPr>
              <w:spacing w:after="60"/>
            </w:pPr>
            <w:r>
              <w:rPr>
                <w:rFonts w:ascii="Arial" w:cs="Arial" w:eastAsia="Arial" w:hAnsi="Arial"/>
                <w:b/>
                <w:bCs/>
                <w:sz w:val="18"/>
                <w:szCs w:val="18"/>
              </w:rPr>
              <w:t xml:space="preserve">Nachweis / Fundstelle</w:t>
            </w:r>
          </w:p>
        </w:tc>
      </w:tr>
      <w:tr>
        <w:trPr>
          <w:cantSplit w:val="false"/>
        </w:trPr>
        <w:tc>
          <w:tcPr>
            <w:tcW w:type="dxa" w:w="6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b/>
                <w:bCs/>
                <w:sz w:val="18"/>
                <w:szCs w:val="18"/>
              </w:rPr>
              <w:t xml:space="preserve">E1</w:t>
            </w:r>
          </w:p>
        </w:tc>
        <w:tc>
          <w:tcPr>
            <w:tcW w:type="dxa" w:w="28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Was wird protokolliert?</w:t>
            </w:r>
          </w:p>
        </w:tc>
        <w:tc>
          <w:tcPr>
            <w:tcW w:type="dxa" w:w="717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AWS CloudTrail (alle API-Aufrufe, alle Regionen, Integritätsprüfung), VPC Flow Logs, WAF-Logs (Authorization- und Cookie-Header geschwärzt), ALB-Zugriffslogs, Datenbank-Audit (pgaudit: DDL- und Rechteänderungen, keine Datenwerte), Anwendungs-Audit (jede SCIM-Operation, jede Sync-Kappung, abgelehnte Anfragen mit Request-ID).</w:t>
            </w:r>
          </w:p>
        </w:tc>
        <w:tc>
          <w:tcPr>
            <w:tcW w:type="dxa" w:w="1150"/>
            <w:tcBorders>
              <w:top w:val="single" w:color="C8CCD4" w:sz="4"/>
              <w:left w:val="single" w:color="C8CCD4" w:sz="4"/>
              <w:bottom w:val="single" w:color="C8CCD4" w:sz="4"/>
              <w:right w:val="single" w:color="C8CCD4" w:sz="4"/>
            </w:tcBorders>
            <w:shd w:fill="DCEFE3" w:color="auto" w:val="clear"/>
            <w:tcMar>
              <w:top w:type="dxa" w:w="80"/>
              <w:left w:type="dxa" w:w="110"/>
              <w:bottom w:type="dxa" w:w="80"/>
              <w:right w:type="dxa" w:w="110"/>
            </w:tcMar>
          </w:tcPr>
          <w:p>
            <w:pPr>
              <w:spacing w:after="60"/>
            </w:pPr>
            <w:r>
              <w:rPr>
                <w:rFonts w:ascii="Arial" w:cs="Arial" w:eastAsia="Arial" w:hAnsi="Arial"/>
                <w:b/>
                <w:bCs/>
                <w:sz w:val="18"/>
                <w:szCs w:val="18"/>
              </w:rPr>
              <w:t xml:space="preserve">Umgesetzt</w:t>
            </w:r>
          </w:p>
        </w:tc>
        <w:tc>
          <w:tcPr>
            <w:tcW w:type="dxa" w:w="27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color w:val="5F6368"/>
                <w:sz w:val="16"/>
                <w:szCs w:val="16"/>
              </w:rPr>
              <w:t xml:space="preserve">audit.tf, network.tf, edge.tf, database.tf; scim/src/scimUsers.ts (audit())</w:t>
            </w:r>
          </w:p>
        </w:tc>
      </w:tr>
      <w:tr>
        <w:trPr>
          <w:cantSplit w:val="false"/>
        </w:trPr>
        <w:tc>
          <w:tcPr>
            <w:tcW w:type="dxa" w:w="6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b/>
                <w:bCs/>
                <w:sz w:val="18"/>
                <w:szCs w:val="18"/>
              </w:rPr>
              <w:t xml:space="preserve">E2</w:t>
            </w:r>
          </w:p>
        </w:tc>
        <w:tc>
          <w:tcPr>
            <w:tcW w:type="dxa" w:w="28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Sind Audit-Daten manipulationssicher?</w:t>
            </w:r>
          </w:p>
        </w:tc>
        <w:tc>
          <w:tcPr>
            <w:tcW w:type="dxa" w:w="717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CloudTrail-Logs liegen in S3 mit Object Lock im COMPLIANCE-Modus (400 Tage, auch vom Root-Account nicht löschbar) plus signierten Digest-Dateien. Das Anwendungs-Audit ist eine Hash-Kette je Mandant: Jede nachträgliche Änderung oder Löschung bricht die Kette und ist beim Export nachweisbar. Die Datenbankrolle der Anwendung hat kein UPDATE/DELETE auf die Audit-Tabelle.</w:t>
            </w:r>
          </w:p>
        </w:tc>
        <w:tc>
          <w:tcPr>
            <w:tcW w:type="dxa" w:w="1150"/>
            <w:tcBorders>
              <w:top w:val="single" w:color="C8CCD4" w:sz="4"/>
              <w:left w:val="single" w:color="C8CCD4" w:sz="4"/>
              <w:bottom w:val="single" w:color="C8CCD4" w:sz="4"/>
              <w:right w:val="single" w:color="C8CCD4" w:sz="4"/>
            </w:tcBorders>
            <w:shd w:fill="DCEFE3" w:color="auto" w:val="clear"/>
            <w:tcMar>
              <w:top w:type="dxa" w:w="80"/>
              <w:left w:type="dxa" w:w="110"/>
              <w:bottom w:type="dxa" w:w="80"/>
              <w:right w:type="dxa" w:w="110"/>
            </w:tcMar>
          </w:tcPr>
          <w:p>
            <w:pPr>
              <w:spacing w:after="60"/>
            </w:pPr>
            <w:r>
              <w:rPr>
                <w:rFonts w:ascii="Arial" w:cs="Arial" w:eastAsia="Arial" w:hAnsi="Arial"/>
                <w:b/>
                <w:bCs/>
                <w:sz w:val="18"/>
                <w:szCs w:val="18"/>
              </w:rPr>
              <w:t xml:space="preserve">Umgesetzt</w:t>
            </w:r>
          </w:p>
        </w:tc>
        <w:tc>
          <w:tcPr>
            <w:tcW w:type="dxa" w:w="27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color w:val="5F6368"/>
                <w:sz w:val="16"/>
                <w:szCs w:val="16"/>
              </w:rPr>
              <w:t xml:space="preserve">audit.tf (Object Lock), scim/src/prismaStore.ts, Test „Audit-Hash-Kette erkennt Manipulation“</w:t>
            </w:r>
          </w:p>
        </w:tc>
      </w:tr>
      <w:tr>
        <w:trPr>
          <w:cantSplit w:val="false"/>
        </w:trPr>
        <w:tc>
          <w:tcPr>
            <w:tcW w:type="dxa" w:w="6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b/>
                <w:bCs/>
                <w:sz w:val="18"/>
                <w:szCs w:val="18"/>
              </w:rPr>
              <w:t xml:space="preserve">E3</w:t>
            </w:r>
          </w:p>
        </w:tc>
        <w:tc>
          <w:tcPr>
            <w:tcW w:type="dxa" w:w="28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Anbindung an das SIEM des Auftraggebers (Splunk/Sentinel)?</w:t>
            </w:r>
          </w:p>
        </w:tc>
        <w:tc>
          <w:tcPr>
            <w:tcW w:type="dxa" w:w="717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Export nahezu in Echtzeit: CloudWatch-Logs-Subscription → Amazon Data Firehose → Splunk HTTP Event Collector (oder Microsoft Sentinel über den AWS-Connector). Format JSON, eigener Index je Mandant, HEC-Token in Secrets Manager.</w:t>
            </w:r>
          </w:p>
        </w:tc>
        <w:tc>
          <w:tcPr>
            <w:tcW w:type="dxa" w:w="1150"/>
            <w:tcBorders>
              <w:top w:val="single" w:color="C8CCD4" w:sz="4"/>
              <w:left w:val="single" w:color="C8CCD4" w:sz="4"/>
              <w:bottom w:val="single" w:color="C8CCD4" w:sz="4"/>
              <w:right w:val="single" w:color="C8CCD4" w:sz="4"/>
            </w:tcBorders>
            <w:shd w:fill="FFF3CD" w:color="auto" w:val="clear"/>
            <w:tcMar>
              <w:top w:type="dxa" w:w="80"/>
              <w:left w:type="dxa" w:w="110"/>
              <w:bottom w:type="dxa" w:w="80"/>
              <w:right w:type="dxa" w:w="110"/>
            </w:tcMar>
          </w:tcPr>
          <w:p>
            <w:pPr>
              <w:spacing w:after="60"/>
            </w:pPr>
            <w:r>
              <w:rPr>
                <w:rFonts w:ascii="Arial" w:cs="Arial" w:eastAsia="Arial" w:hAnsi="Arial"/>
                <w:b/>
                <w:bCs/>
                <w:sz w:val="18"/>
                <w:szCs w:val="18"/>
              </w:rPr>
              <w:t xml:space="preserve">Zugesagt</w:t>
            </w:r>
          </w:p>
        </w:tc>
        <w:tc>
          <w:tcPr>
            <w:tcW w:type="dxa" w:w="27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color w:val="5F6368"/>
                <w:sz w:val="16"/>
                <w:szCs w:val="16"/>
              </w:rPr>
              <w:t xml:space="preserve">Einrichtung im Onboarding; Terraform-Modul folgt</w:t>
            </w:r>
          </w:p>
        </w:tc>
      </w:tr>
      <w:tr>
        <w:trPr>
          <w:cantSplit w:val="false"/>
        </w:trPr>
        <w:tc>
          <w:tcPr>
            <w:tcW w:type="dxa" w:w="6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b/>
                <w:bCs/>
                <w:sz w:val="18"/>
                <w:szCs w:val="18"/>
              </w:rPr>
              <w:t xml:space="preserve">E4</w:t>
            </w:r>
          </w:p>
        </w:tc>
        <w:tc>
          <w:tcPr>
            <w:tcW w:type="dxa" w:w="28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Aufbewahrungsfristen der Logs?</w:t>
            </w:r>
          </w:p>
        </w:tc>
        <w:tc>
          <w:tcPr>
            <w:tcW w:type="dxa" w:w="717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Betriebs- und Sicherheitslogs 365 Tage, CloudTrail-Archiv 400 Tage (WORM). Beides ist je Mandant konfigurierbar. Danach erfolgt die automatische Löschung.</w:t>
            </w:r>
          </w:p>
        </w:tc>
        <w:tc>
          <w:tcPr>
            <w:tcW w:type="dxa" w:w="1150"/>
            <w:tcBorders>
              <w:top w:val="single" w:color="C8CCD4" w:sz="4"/>
              <w:left w:val="single" w:color="C8CCD4" w:sz="4"/>
              <w:bottom w:val="single" w:color="C8CCD4" w:sz="4"/>
              <w:right w:val="single" w:color="C8CCD4" w:sz="4"/>
            </w:tcBorders>
            <w:shd w:fill="DCEFE3" w:color="auto" w:val="clear"/>
            <w:tcMar>
              <w:top w:type="dxa" w:w="80"/>
              <w:left w:type="dxa" w:w="110"/>
              <w:bottom w:type="dxa" w:w="80"/>
              <w:right w:type="dxa" w:w="110"/>
            </w:tcMar>
          </w:tcPr>
          <w:p>
            <w:pPr>
              <w:spacing w:after="60"/>
            </w:pPr>
            <w:r>
              <w:rPr>
                <w:rFonts w:ascii="Arial" w:cs="Arial" w:eastAsia="Arial" w:hAnsi="Arial"/>
                <w:b/>
                <w:bCs/>
                <w:sz w:val="18"/>
                <w:szCs w:val="18"/>
              </w:rPr>
              <w:t xml:space="preserve">Umgesetzt</w:t>
            </w:r>
          </w:p>
        </w:tc>
        <w:tc>
          <w:tcPr>
            <w:tcW w:type="dxa" w:w="27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color w:val="5F6368"/>
                <w:sz w:val="16"/>
                <w:szCs w:val="16"/>
              </w:rPr>
              <w:t xml:space="preserve">variables.tf (log_retention_days, audit_object_lock_days)</w:t>
            </w:r>
          </w:p>
        </w:tc>
      </w:tr>
    </w:tbl>
    <w:p>
      <w:pPr>
        <w:pStyle w:val="Heading1"/>
        <w:spacing w:after="160" w:before="360"/>
      </w:pPr>
      <w:r>
        <w:rPr>
          <w:rFonts w:ascii="Arial" w:cs="Arial" w:eastAsia="Arial" w:hAnsi="Arial"/>
        </w:rPr>
        <w:t xml:space="preserve">F · Verfügbarkeit, Backup und Disaster Recovery</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
        <w:gridCol w:w="2850"/>
        <w:gridCol w:w="7170"/>
        <w:gridCol w:w="1150"/>
        <w:gridCol w:w="2750"/>
      </w:tblGrid>
      <w:tr>
        <w:trPr>
          <w:tblHeader/>
        </w:trPr>
        <w:tc>
          <w:tcPr>
            <w:tcW w:type="dxa" w:w="650"/>
            <w:tcBorders>
              <w:top w:val="single" w:color="C8CCD4" w:sz="4"/>
              <w:left w:val="single" w:color="C8CCD4" w:sz="4"/>
              <w:bottom w:val="single" w:color="C8CCD4" w:sz="4"/>
              <w:right w:val="single" w:color="C8CCD4" w:sz="4"/>
            </w:tcBorders>
            <w:shd w:fill="E8E7F7" w:color="auto" w:val="clear"/>
            <w:tcMar>
              <w:top w:type="dxa" w:w="80"/>
              <w:left w:type="dxa" w:w="110"/>
              <w:bottom w:type="dxa" w:w="80"/>
              <w:right w:type="dxa" w:w="110"/>
            </w:tcMar>
          </w:tcPr>
          <w:p>
            <w:pPr>
              <w:spacing w:after="60"/>
            </w:pPr>
            <w:r>
              <w:rPr>
                <w:rFonts w:ascii="Arial" w:cs="Arial" w:eastAsia="Arial" w:hAnsi="Arial"/>
                <w:b/>
                <w:bCs/>
                <w:sz w:val="18"/>
                <w:szCs w:val="18"/>
              </w:rPr>
              <w:t xml:space="preserve">Nr.</w:t>
            </w:r>
          </w:p>
        </w:tc>
        <w:tc>
          <w:tcPr>
            <w:tcW w:type="dxa" w:w="2850"/>
            <w:tcBorders>
              <w:top w:val="single" w:color="C8CCD4" w:sz="4"/>
              <w:left w:val="single" w:color="C8CCD4" w:sz="4"/>
              <w:bottom w:val="single" w:color="C8CCD4" w:sz="4"/>
              <w:right w:val="single" w:color="C8CCD4" w:sz="4"/>
            </w:tcBorders>
            <w:shd w:fill="E8E7F7" w:color="auto" w:val="clear"/>
            <w:tcMar>
              <w:top w:type="dxa" w:w="80"/>
              <w:left w:type="dxa" w:w="110"/>
              <w:bottom w:type="dxa" w:w="80"/>
              <w:right w:type="dxa" w:w="110"/>
            </w:tcMar>
          </w:tcPr>
          <w:p>
            <w:pPr>
              <w:spacing w:after="60"/>
            </w:pPr>
            <w:r>
              <w:rPr>
                <w:rFonts w:ascii="Arial" w:cs="Arial" w:eastAsia="Arial" w:hAnsi="Arial"/>
                <w:b/>
                <w:bCs/>
                <w:sz w:val="18"/>
                <w:szCs w:val="18"/>
              </w:rPr>
              <w:t xml:space="preserve">Frage des Auftraggebers</w:t>
            </w:r>
          </w:p>
        </w:tc>
        <w:tc>
          <w:tcPr>
            <w:tcW w:type="dxa" w:w="7170"/>
            <w:tcBorders>
              <w:top w:val="single" w:color="C8CCD4" w:sz="4"/>
              <w:left w:val="single" w:color="C8CCD4" w:sz="4"/>
              <w:bottom w:val="single" w:color="C8CCD4" w:sz="4"/>
              <w:right w:val="single" w:color="C8CCD4" w:sz="4"/>
            </w:tcBorders>
            <w:shd w:fill="E8E7F7" w:color="auto" w:val="clear"/>
            <w:tcMar>
              <w:top w:type="dxa" w:w="80"/>
              <w:left w:type="dxa" w:w="110"/>
              <w:bottom w:type="dxa" w:w="80"/>
              <w:right w:type="dxa" w:w="110"/>
            </w:tcMar>
          </w:tcPr>
          <w:p>
            <w:pPr>
              <w:spacing w:after="60"/>
            </w:pPr>
            <w:r>
              <w:rPr>
                <w:rFonts w:ascii="Arial" w:cs="Arial" w:eastAsia="Arial" w:hAnsi="Arial"/>
                <w:b/>
                <w:bCs/>
                <w:sz w:val="18"/>
                <w:szCs w:val="18"/>
              </w:rPr>
              <w:t xml:space="preserve">Antwort des Betreibers</w:t>
            </w:r>
          </w:p>
        </w:tc>
        <w:tc>
          <w:tcPr>
            <w:tcW w:type="dxa" w:w="1150"/>
            <w:tcBorders>
              <w:top w:val="single" w:color="C8CCD4" w:sz="4"/>
              <w:left w:val="single" w:color="C8CCD4" w:sz="4"/>
              <w:bottom w:val="single" w:color="C8CCD4" w:sz="4"/>
              <w:right w:val="single" w:color="C8CCD4" w:sz="4"/>
            </w:tcBorders>
            <w:shd w:fill="E8E7F7" w:color="auto" w:val="clear"/>
            <w:tcMar>
              <w:top w:type="dxa" w:w="80"/>
              <w:left w:type="dxa" w:w="110"/>
              <w:bottom w:type="dxa" w:w="80"/>
              <w:right w:type="dxa" w:w="110"/>
            </w:tcMar>
          </w:tcPr>
          <w:p>
            <w:pPr>
              <w:spacing w:after="60"/>
            </w:pPr>
            <w:r>
              <w:rPr>
                <w:rFonts w:ascii="Arial" w:cs="Arial" w:eastAsia="Arial" w:hAnsi="Arial"/>
                <w:b/>
                <w:bCs/>
                <w:sz w:val="18"/>
                <w:szCs w:val="18"/>
              </w:rPr>
              <w:t xml:space="preserve">Status</w:t>
            </w:r>
          </w:p>
        </w:tc>
        <w:tc>
          <w:tcPr>
            <w:tcW w:type="dxa" w:w="2750"/>
            <w:tcBorders>
              <w:top w:val="single" w:color="C8CCD4" w:sz="4"/>
              <w:left w:val="single" w:color="C8CCD4" w:sz="4"/>
              <w:bottom w:val="single" w:color="C8CCD4" w:sz="4"/>
              <w:right w:val="single" w:color="C8CCD4" w:sz="4"/>
            </w:tcBorders>
            <w:shd w:fill="E8E7F7" w:color="auto" w:val="clear"/>
            <w:tcMar>
              <w:top w:type="dxa" w:w="80"/>
              <w:left w:type="dxa" w:w="110"/>
              <w:bottom w:type="dxa" w:w="80"/>
              <w:right w:type="dxa" w:w="110"/>
            </w:tcMar>
          </w:tcPr>
          <w:p>
            <w:pPr>
              <w:spacing w:after="60"/>
            </w:pPr>
            <w:r>
              <w:rPr>
                <w:rFonts w:ascii="Arial" w:cs="Arial" w:eastAsia="Arial" w:hAnsi="Arial"/>
                <w:b/>
                <w:bCs/>
                <w:sz w:val="18"/>
                <w:szCs w:val="18"/>
              </w:rPr>
              <w:t xml:space="preserve">Nachweis / Fundstelle</w:t>
            </w:r>
          </w:p>
        </w:tc>
      </w:tr>
      <w:tr>
        <w:trPr>
          <w:cantSplit w:val="false"/>
        </w:trPr>
        <w:tc>
          <w:tcPr>
            <w:tcW w:type="dxa" w:w="6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b/>
                <w:bCs/>
                <w:sz w:val="18"/>
                <w:szCs w:val="18"/>
              </w:rPr>
              <w:t xml:space="preserve">F1</w:t>
            </w:r>
          </w:p>
        </w:tc>
        <w:tc>
          <w:tcPr>
            <w:tcW w:type="dxa" w:w="28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Wie hoch sind RTO und RPO?</w:t>
            </w:r>
          </w:p>
        </w:tc>
        <w:tc>
          <w:tcPr>
            <w:tcW w:type="dxa" w:w="717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Siehe Tabelle „Wiederherstellungsziele“ unten. Grundsatz: Die führende Datenquelle sind die Kalender in Microsoft 365 bzw. Google Workspace. CalenSync hält nur Zuordnungen und Metadaten, die sich nach einem Restore durch einen vollständigen Resync rekonstruieren lassen.</w:t>
            </w:r>
          </w:p>
        </w:tc>
        <w:tc>
          <w:tcPr>
            <w:tcW w:type="dxa" w:w="1150"/>
            <w:tcBorders>
              <w:top w:val="single" w:color="C8CCD4" w:sz="4"/>
              <w:left w:val="single" w:color="C8CCD4" w:sz="4"/>
              <w:bottom w:val="single" w:color="C8CCD4" w:sz="4"/>
              <w:right w:val="single" w:color="C8CCD4" w:sz="4"/>
            </w:tcBorders>
            <w:shd w:fill="FFF3CD" w:color="auto" w:val="clear"/>
            <w:tcMar>
              <w:top w:type="dxa" w:w="80"/>
              <w:left w:type="dxa" w:w="110"/>
              <w:bottom w:type="dxa" w:w="80"/>
              <w:right w:type="dxa" w:w="110"/>
            </w:tcMar>
          </w:tcPr>
          <w:p>
            <w:pPr>
              <w:spacing w:after="60"/>
            </w:pPr>
            <w:r>
              <w:rPr>
                <w:rFonts w:ascii="Arial" w:cs="Arial" w:eastAsia="Arial" w:hAnsi="Arial"/>
                <w:b/>
                <w:bCs/>
                <w:sz w:val="18"/>
                <w:szCs w:val="18"/>
              </w:rPr>
              <w:t xml:space="preserve">Zugesagt</w:t>
            </w:r>
          </w:p>
        </w:tc>
        <w:tc>
          <w:tcPr>
            <w:tcW w:type="dxa" w:w="27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color w:val="5F6368"/>
                <w:sz w:val="16"/>
                <w:szCs w:val="16"/>
              </w:rPr>
              <w:t xml:space="preserve">backup.tf, database.tf; Restore-Test-Protokolle</w:t>
            </w:r>
          </w:p>
        </w:tc>
      </w:tr>
      <w:tr>
        <w:trPr>
          <w:cantSplit w:val="false"/>
        </w:trPr>
        <w:tc>
          <w:tcPr>
            <w:tcW w:type="dxa" w:w="6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b/>
                <w:bCs/>
                <w:sz w:val="18"/>
                <w:szCs w:val="18"/>
              </w:rPr>
              <w:t xml:space="preserve">F2</w:t>
            </w:r>
          </w:p>
        </w:tc>
        <w:tc>
          <w:tcPr>
            <w:tcW w:type="dxa" w:w="28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Wie sind Backups gegen Ransomware und kompromittierte Administratoren geschützt?</w:t>
            </w:r>
          </w:p>
        </w:tc>
        <w:tc>
          <w:tcPr>
            <w:tcW w:type="dxa" w:w="717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Zusätzlich zur Point-in-Time-Recovery (35 Tage) gibt es tägliche Snapshots in einem AWS-Backup-Tresor mit Vault Lock. Nach der Sperrfrist kann niemand diese Backups vor Ablauf der Mindestaufbewahrung löschen, auch nicht der Betreiber.</w:t>
            </w:r>
          </w:p>
        </w:tc>
        <w:tc>
          <w:tcPr>
            <w:tcW w:type="dxa" w:w="1150"/>
            <w:tcBorders>
              <w:top w:val="single" w:color="C8CCD4" w:sz="4"/>
              <w:left w:val="single" w:color="C8CCD4" w:sz="4"/>
              <w:bottom w:val="single" w:color="C8CCD4" w:sz="4"/>
              <w:right w:val="single" w:color="C8CCD4" w:sz="4"/>
            </w:tcBorders>
            <w:shd w:fill="DCEFE3" w:color="auto" w:val="clear"/>
            <w:tcMar>
              <w:top w:type="dxa" w:w="80"/>
              <w:left w:type="dxa" w:w="110"/>
              <w:bottom w:type="dxa" w:w="80"/>
              <w:right w:type="dxa" w:w="110"/>
            </w:tcMar>
          </w:tcPr>
          <w:p>
            <w:pPr>
              <w:spacing w:after="60"/>
            </w:pPr>
            <w:r>
              <w:rPr>
                <w:rFonts w:ascii="Arial" w:cs="Arial" w:eastAsia="Arial" w:hAnsi="Arial"/>
                <w:b/>
                <w:bCs/>
                <w:sz w:val="18"/>
                <w:szCs w:val="18"/>
              </w:rPr>
              <w:t xml:space="preserve">Umgesetzt</w:t>
            </w:r>
          </w:p>
        </w:tc>
        <w:tc>
          <w:tcPr>
            <w:tcW w:type="dxa" w:w="27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color w:val="5F6368"/>
                <w:sz w:val="16"/>
                <w:szCs w:val="16"/>
              </w:rPr>
              <w:t xml:space="preserve">backup.tf (aws_backup_vault_lock_configuration)</w:t>
            </w:r>
          </w:p>
        </w:tc>
      </w:tr>
      <w:tr>
        <w:trPr>
          <w:cantSplit w:val="false"/>
        </w:trPr>
        <w:tc>
          <w:tcPr>
            <w:tcW w:type="dxa" w:w="6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b/>
                <w:bCs/>
                <w:sz w:val="18"/>
                <w:szCs w:val="18"/>
              </w:rPr>
              <w:t xml:space="preserve">F3</w:t>
            </w:r>
          </w:p>
        </w:tc>
        <w:tc>
          <w:tcPr>
            <w:tcW w:type="dxa" w:w="28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Werden Wiederherstellungen getestet?</w:t>
            </w:r>
          </w:p>
        </w:tc>
        <w:tc>
          <w:tcPr>
            <w:tcW w:type="dxa" w:w="717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Quartalsweise Restore in eine isolierte Umgebung mit Messung der tatsächlichen RTO/RPO. Das Protokoll erhält der Auftraggeber auf Anfrage.</w:t>
            </w:r>
          </w:p>
        </w:tc>
        <w:tc>
          <w:tcPr>
            <w:tcW w:type="dxa" w:w="1150"/>
            <w:tcBorders>
              <w:top w:val="single" w:color="C8CCD4" w:sz="4"/>
              <w:left w:val="single" w:color="C8CCD4" w:sz="4"/>
              <w:bottom w:val="single" w:color="C8CCD4" w:sz="4"/>
              <w:right w:val="single" w:color="C8CCD4" w:sz="4"/>
            </w:tcBorders>
            <w:shd w:fill="F8D7DA" w:color="auto" w:val="clear"/>
            <w:tcMar>
              <w:top w:type="dxa" w:w="80"/>
              <w:left w:type="dxa" w:w="110"/>
              <w:bottom w:type="dxa" w:w="80"/>
              <w:right w:type="dxa" w:w="110"/>
            </w:tcMar>
          </w:tcPr>
          <w:p>
            <w:pPr>
              <w:spacing w:after="60"/>
            </w:pPr>
            <w:r>
              <w:rPr>
                <w:rFonts w:ascii="Arial" w:cs="Arial" w:eastAsia="Arial" w:hAnsi="Arial"/>
                <w:b/>
                <w:bCs/>
                <w:sz w:val="18"/>
                <w:szCs w:val="18"/>
              </w:rPr>
              <w:t xml:space="preserve">Offen</w:t>
            </w:r>
          </w:p>
        </w:tc>
        <w:tc>
          <w:tcPr>
            <w:tcW w:type="dxa" w:w="27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color w:val="5F6368"/>
                <w:sz w:val="16"/>
                <w:szCs w:val="16"/>
              </w:rPr>
              <w:t xml:space="preserve">Erster Restore-Test vor Produktivstart</w:t>
            </w:r>
          </w:p>
        </w:tc>
      </w:tr>
    </w:tbl>
    <w:p>
      <w:pPr>
        <w:spacing w:after="120" w:before="240"/>
      </w:pPr>
      <w:r>
        <w:rPr>
          <w:rFonts w:ascii="Arial" w:cs="Arial" w:eastAsia="Arial" w:hAnsi="Arial"/>
          <w:b/>
          <w:bCs/>
          <w:sz w:val="20"/>
          <w:szCs w:val="20"/>
        </w:rPr>
        <w:t xml:space="preserve">Wiederherstellungsziele (Zielwerte, durch Restore-Tests zu bestätigen)</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2200"/>
        <w:gridCol w:w="2200"/>
        <w:gridCol w:w="6870"/>
      </w:tblGrid>
      <w:tr>
        <w:trPr>
          <w:tblHeader/>
        </w:trPr>
        <w:tc>
          <w:tcPr>
            <w:tcW w:type="dxa" w:w="3300"/>
            <w:tcBorders>
              <w:top w:val="single" w:color="C8CCD4" w:sz="4"/>
              <w:left w:val="single" w:color="C8CCD4" w:sz="4"/>
              <w:bottom w:val="single" w:color="C8CCD4" w:sz="4"/>
              <w:right w:val="single" w:color="C8CCD4" w:sz="4"/>
            </w:tcBorders>
            <w:shd w:fill="E8E7F7" w:color="auto" w:val="clear"/>
            <w:tcMar>
              <w:top w:type="dxa" w:w="80"/>
              <w:left w:type="dxa" w:w="110"/>
              <w:bottom w:type="dxa" w:w="80"/>
              <w:right w:type="dxa" w:w="110"/>
            </w:tcMar>
          </w:tcPr>
          <w:p>
            <w:pPr>
              <w:spacing w:after="60"/>
            </w:pPr>
            <w:r>
              <w:rPr>
                <w:rFonts w:ascii="Arial" w:cs="Arial" w:eastAsia="Arial" w:hAnsi="Arial"/>
                <w:b/>
                <w:bCs/>
                <w:sz w:val="18"/>
                <w:szCs w:val="18"/>
              </w:rPr>
              <w:t xml:space="preserve">Szenario</w:t>
            </w:r>
          </w:p>
        </w:tc>
        <w:tc>
          <w:tcPr>
            <w:tcW w:type="dxa" w:w="2200"/>
            <w:tcBorders>
              <w:top w:val="single" w:color="C8CCD4" w:sz="4"/>
              <w:left w:val="single" w:color="C8CCD4" w:sz="4"/>
              <w:bottom w:val="single" w:color="C8CCD4" w:sz="4"/>
              <w:right w:val="single" w:color="C8CCD4" w:sz="4"/>
            </w:tcBorders>
            <w:shd w:fill="E8E7F7" w:color="auto" w:val="clear"/>
            <w:tcMar>
              <w:top w:type="dxa" w:w="80"/>
              <w:left w:type="dxa" w:w="110"/>
              <w:bottom w:type="dxa" w:w="80"/>
              <w:right w:type="dxa" w:w="110"/>
            </w:tcMar>
          </w:tcPr>
          <w:p>
            <w:pPr>
              <w:spacing w:after="60"/>
            </w:pPr>
            <w:r>
              <w:rPr>
                <w:rFonts w:ascii="Arial" w:cs="Arial" w:eastAsia="Arial" w:hAnsi="Arial"/>
                <w:b/>
                <w:bCs/>
                <w:sz w:val="18"/>
                <w:szCs w:val="18"/>
              </w:rPr>
              <w:t xml:space="preserve">RPO (max. Datenverlust)</w:t>
            </w:r>
          </w:p>
        </w:tc>
        <w:tc>
          <w:tcPr>
            <w:tcW w:type="dxa" w:w="2200"/>
            <w:tcBorders>
              <w:top w:val="single" w:color="C8CCD4" w:sz="4"/>
              <w:left w:val="single" w:color="C8CCD4" w:sz="4"/>
              <w:bottom w:val="single" w:color="C8CCD4" w:sz="4"/>
              <w:right w:val="single" w:color="C8CCD4" w:sz="4"/>
            </w:tcBorders>
            <w:shd w:fill="E8E7F7" w:color="auto" w:val="clear"/>
            <w:tcMar>
              <w:top w:type="dxa" w:w="80"/>
              <w:left w:type="dxa" w:w="110"/>
              <w:bottom w:type="dxa" w:w="80"/>
              <w:right w:type="dxa" w:w="110"/>
            </w:tcMar>
          </w:tcPr>
          <w:p>
            <w:pPr>
              <w:spacing w:after="60"/>
            </w:pPr>
            <w:r>
              <w:rPr>
                <w:rFonts w:ascii="Arial" w:cs="Arial" w:eastAsia="Arial" w:hAnsi="Arial"/>
                <w:b/>
                <w:bCs/>
                <w:sz w:val="18"/>
                <w:szCs w:val="18"/>
              </w:rPr>
              <w:t xml:space="preserve">RTO (max. Ausfallzeit)</w:t>
            </w:r>
          </w:p>
        </w:tc>
        <w:tc>
          <w:tcPr>
            <w:tcW w:type="dxa" w:w="6870"/>
            <w:tcBorders>
              <w:top w:val="single" w:color="C8CCD4" w:sz="4"/>
              <w:left w:val="single" w:color="C8CCD4" w:sz="4"/>
              <w:bottom w:val="single" w:color="C8CCD4" w:sz="4"/>
              <w:right w:val="single" w:color="C8CCD4" w:sz="4"/>
            </w:tcBorders>
            <w:shd w:fill="E8E7F7" w:color="auto" w:val="clear"/>
            <w:tcMar>
              <w:top w:type="dxa" w:w="80"/>
              <w:left w:type="dxa" w:w="110"/>
              <w:bottom w:type="dxa" w:w="80"/>
              <w:right w:type="dxa" w:w="110"/>
            </w:tcMar>
          </w:tcPr>
          <w:p>
            <w:pPr>
              <w:spacing w:after="60"/>
            </w:pPr>
            <w:r>
              <w:rPr>
                <w:rFonts w:ascii="Arial" w:cs="Arial" w:eastAsia="Arial" w:hAnsi="Arial"/>
                <w:b/>
                <w:bCs/>
                <w:sz w:val="18"/>
                <w:szCs w:val="18"/>
              </w:rPr>
              <w:t xml:space="preserve">Mechanismus</w:t>
            </w:r>
          </w:p>
        </w:tc>
      </w:tr>
      <w:tr>
        <w:trPr>
          <w:tblHeader w:val="false"/>
        </w:trPr>
        <w:tc>
          <w:tcPr>
            <w:tcW w:type="dxa" w:w="330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Ausfall einer Availability Zone</w:t>
            </w:r>
          </w:p>
        </w:tc>
        <w:tc>
          <w:tcPr>
            <w:tcW w:type="dxa" w:w="220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 0</w:t>
            </w:r>
          </w:p>
        </w:tc>
        <w:tc>
          <w:tcPr>
            <w:tcW w:type="dxa" w:w="220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 5 Minuten</w:t>
            </w:r>
          </w:p>
        </w:tc>
        <w:tc>
          <w:tcPr>
            <w:tcW w:type="dxa" w:w="687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Aurora speichert 6 Kopien über 3 AZs, automatisches Failover auf den Reader; Fargate-Tasks laufen in mehreren AZs</w:t>
            </w:r>
          </w:p>
        </w:tc>
      </w:tr>
      <w:tr>
        <w:trPr>
          <w:tblHeader w:val="false"/>
        </w:trPr>
        <w:tc>
          <w:tcPr>
            <w:tcW w:type="dxa" w:w="330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Logischer Fehler, versehentliches Löschen</w:t>
            </w:r>
          </w:p>
        </w:tc>
        <w:tc>
          <w:tcPr>
            <w:tcW w:type="dxa" w:w="220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 5 Minuten</w:t>
            </w:r>
          </w:p>
        </w:tc>
        <w:tc>
          <w:tcPr>
            <w:tcW w:type="dxa" w:w="220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 4 Stunden</w:t>
            </w:r>
          </w:p>
        </w:tc>
        <w:tc>
          <w:tcPr>
            <w:tcW w:type="dxa" w:w="687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Point-in-Time-Recovery (35 Tage) in neuen Cluster, Umschalten</w:t>
            </w:r>
          </w:p>
        </w:tc>
      </w:tr>
      <w:tr>
        <w:trPr>
          <w:tblHeader w:val="false"/>
        </w:trPr>
        <w:tc>
          <w:tcPr>
            <w:tcW w:type="dxa" w:w="330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Ransomware / kompromittierter Admin</w:t>
            </w:r>
          </w:p>
        </w:tc>
        <w:tc>
          <w:tcPr>
            <w:tcW w:type="dxa" w:w="220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 24 Stunden</w:t>
            </w:r>
          </w:p>
        </w:tc>
        <w:tc>
          <w:tcPr>
            <w:tcW w:type="dxa" w:w="220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 8 Stunden</w:t>
            </w:r>
          </w:p>
        </w:tc>
        <w:tc>
          <w:tcPr>
            <w:tcW w:type="dxa" w:w="687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Restore aus gesperrtem Backup-Tresor (Vault Lock), Neuaufbau per Terraform</w:t>
            </w:r>
          </w:p>
        </w:tc>
      </w:tr>
      <w:tr>
        <w:trPr>
          <w:tblHeader w:val="false"/>
        </w:trPr>
        <w:tc>
          <w:tcPr>
            <w:tcW w:type="dxa" w:w="330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Ausfall der Region Frankfurt (mit DR-Kopie)</w:t>
            </w:r>
          </w:p>
        </w:tc>
        <w:tc>
          <w:tcPr>
            <w:tcW w:type="dxa" w:w="220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 24 Stunden</w:t>
            </w:r>
          </w:p>
        </w:tc>
        <w:tc>
          <w:tcPr>
            <w:tcW w:type="dxa" w:w="220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 24 Stunden</w:t>
            </w:r>
          </w:p>
        </w:tc>
        <w:tc>
          <w:tcPr>
            <w:tcW w:type="dxa" w:w="687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Restore der Backup-Kopie in EU-Region, Stack per Terraform, vollständiger Resync</w:t>
            </w:r>
          </w:p>
        </w:tc>
      </w:tr>
      <w:tr>
        <w:trPr>
          <w:tblHeader w:val="false"/>
        </w:trPr>
        <w:tc>
          <w:tcPr>
            <w:tcW w:type="dxa" w:w="330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Ausfall der Region Frankfurt (Vorgabe „nur Deutschland“)</w:t>
            </w:r>
          </w:p>
        </w:tc>
        <w:tc>
          <w:tcPr>
            <w:tcW w:type="dxa" w:w="220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abhängig von AWS</w:t>
            </w:r>
          </w:p>
        </w:tc>
        <w:tc>
          <w:tcPr>
            <w:tcW w:type="dxa" w:w="220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abhängig von AWS</w:t>
            </w:r>
          </w:p>
        </w:tc>
        <w:tc>
          <w:tcPr>
            <w:tcW w:type="dxa" w:w="687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Keine Kopie außerhalb Deutschlands; Wiederanlauf nach Wiederherstellung der Region</w:t>
            </w:r>
          </w:p>
        </w:tc>
      </w:tr>
    </w:tbl>
    <w:p>
      <w:pPr>
        <w:pStyle w:val="Heading1"/>
        <w:spacing w:after="160" w:before="360"/>
      </w:pPr>
      <w:r>
        <w:rPr>
          <w:rFonts w:ascii="Arial" w:cs="Arial" w:eastAsia="Arial" w:hAnsi="Arial"/>
        </w:rPr>
        <w:t xml:space="preserve">G · Auftragsverarbeitung nach Art. 28 Abs. 3 DSGVO (Mindestinhalte)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
        <w:gridCol w:w="2850"/>
        <w:gridCol w:w="7170"/>
        <w:gridCol w:w="1150"/>
        <w:gridCol w:w="2750"/>
      </w:tblGrid>
      <w:tr>
        <w:trPr>
          <w:tblHeader/>
        </w:trPr>
        <w:tc>
          <w:tcPr>
            <w:tcW w:type="dxa" w:w="650"/>
            <w:tcBorders>
              <w:top w:val="single" w:color="C8CCD4" w:sz="4"/>
              <w:left w:val="single" w:color="C8CCD4" w:sz="4"/>
              <w:bottom w:val="single" w:color="C8CCD4" w:sz="4"/>
              <w:right w:val="single" w:color="C8CCD4" w:sz="4"/>
            </w:tcBorders>
            <w:shd w:fill="E8E7F7" w:color="auto" w:val="clear"/>
            <w:tcMar>
              <w:top w:type="dxa" w:w="80"/>
              <w:left w:type="dxa" w:w="110"/>
              <w:bottom w:type="dxa" w:w="80"/>
              <w:right w:type="dxa" w:w="110"/>
            </w:tcMar>
          </w:tcPr>
          <w:p>
            <w:pPr>
              <w:spacing w:after="60"/>
            </w:pPr>
            <w:r>
              <w:rPr>
                <w:rFonts w:ascii="Arial" w:cs="Arial" w:eastAsia="Arial" w:hAnsi="Arial"/>
                <w:b/>
                <w:bCs/>
                <w:sz w:val="18"/>
                <w:szCs w:val="18"/>
              </w:rPr>
              <w:t xml:space="preserve">Nr.</w:t>
            </w:r>
          </w:p>
        </w:tc>
        <w:tc>
          <w:tcPr>
            <w:tcW w:type="dxa" w:w="2850"/>
            <w:tcBorders>
              <w:top w:val="single" w:color="C8CCD4" w:sz="4"/>
              <w:left w:val="single" w:color="C8CCD4" w:sz="4"/>
              <w:bottom w:val="single" w:color="C8CCD4" w:sz="4"/>
              <w:right w:val="single" w:color="C8CCD4" w:sz="4"/>
            </w:tcBorders>
            <w:shd w:fill="E8E7F7" w:color="auto" w:val="clear"/>
            <w:tcMar>
              <w:top w:type="dxa" w:w="80"/>
              <w:left w:type="dxa" w:w="110"/>
              <w:bottom w:type="dxa" w:w="80"/>
              <w:right w:type="dxa" w:w="110"/>
            </w:tcMar>
          </w:tcPr>
          <w:p>
            <w:pPr>
              <w:spacing w:after="60"/>
            </w:pPr>
            <w:r>
              <w:rPr>
                <w:rFonts w:ascii="Arial" w:cs="Arial" w:eastAsia="Arial" w:hAnsi="Arial"/>
                <w:b/>
                <w:bCs/>
                <w:sz w:val="18"/>
                <w:szCs w:val="18"/>
              </w:rPr>
              <w:t xml:space="preserve">Frage des Auftraggebers</w:t>
            </w:r>
          </w:p>
        </w:tc>
        <w:tc>
          <w:tcPr>
            <w:tcW w:type="dxa" w:w="7170"/>
            <w:tcBorders>
              <w:top w:val="single" w:color="C8CCD4" w:sz="4"/>
              <w:left w:val="single" w:color="C8CCD4" w:sz="4"/>
              <w:bottom w:val="single" w:color="C8CCD4" w:sz="4"/>
              <w:right w:val="single" w:color="C8CCD4" w:sz="4"/>
            </w:tcBorders>
            <w:shd w:fill="E8E7F7" w:color="auto" w:val="clear"/>
            <w:tcMar>
              <w:top w:type="dxa" w:w="80"/>
              <w:left w:type="dxa" w:w="110"/>
              <w:bottom w:type="dxa" w:w="80"/>
              <w:right w:type="dxa" w:w="110"/>
            </w:tcMar>
          </w:tcPr>
          <w:p>
            <w:pPr>
              <w:spacing w:after="60"/>
            </w:pPr>
            <w:r>
              <w:rPr>
                <w:rFonts w:ascii="Arial" w:cs="Arial" w:eastAsia="Arial" w:hAnsi="Arial"/>
                <w:b/>
                <w:bCs/>
                <w:sz w:val="18"/>
                <w:szCs w:val="18"/>
              </w:rPr>
              <w:t xml:space="preserve">Antwort des Betreibers</w:t>
            </w:r>
          </w:p>
        </w:tc>
        <w:tc>
          <w:tcPr>
            <w:tcW w:type="dxa" w:w="1150"/>
            <w:tcBorders>
              <w:top w:val="single" w:color="C8CCD4" w:sz="4"/>
              <w:left w:val="single" w:color="C8CCD4" w:sz="4"/>
              <w:bottom w:val="single" w:color="C8CCD4" w:sz="4"/>
              <w:right w:val="single" w:color="C8CCD4" w:sz="4"/>
            </w:tcBorders>
            <w:shd w:fill="E8E7F7" w:color="auto" w:val="clear"/>
            <w:tcMar>
              <w:top w:type="dxa" w:w="80"/>
              <w:left w:type="dxa" w:w="110"/>
              <w:bottom w:type="dxa" w:w="80"/>
              <w:right w:type="dxa" w:w="110"/>
            </w:tcMar>
          </w:tcPr>
          <w:p>
            <w:pPr>
              <w:spacing w:after="60"/>
            </w:pPr>
            <w:r>
              <w:rPr>
                <w:rFonts w:ascii="Arial" w:cs="Arial" w:eastAsia="Arial" w:hAnsi="Arial"/>
                <w:b/>
                <w:bCs/>
                <w:sz w:val="18"/>
                <w:szCs w:val="18"/>
              </w:rPr>
              <w:t xml:space="preserve">Status</w:t>
            </w:r>
          </w:p>
        </w:tc>
        <w:tc>
          <w:tcPr>
            <w:tcW w:type="dxa" w:w="2750"/>
            <w:tcBorders>
              <w:top w:val="single" w:color="C8CCD4" w:sz="4"/>
              <w:left w:val="single" w:color="C8CCD4" w:sz="4"/>
              <w:bottom w:val="single" w:color="C8CCD4" w:sz="4"/>
              <w:right w:val="single" w:color="C8CCD4" w:sz="4"/>
            </w:tcBorders>
            <w:shd w:fill="E8E7F7" w:color="auto" w:val="clear"/>
            <w:tcMar>
              <w:top w:type="dxa" w:w="80"/>
              <w:left w:type="dxa" w:w="110"/>
              <w:bottom w:type="dxa" w:w="80"/>
              <w:right w:type="dxa" w:w="110"/>
            </w:tcMar>
          </w:tcPr>
          <w:p>
            <w:pPr>
              <w:spacing w:after="60"/>
            </w:pPr>
            <w:r>
              <w:rPr>
                <w:rFonts w:ascii="Arial" w:cs="Arial" w:eastAsia="Arial" w:hAnsi="Arial"/>
                <w:b/>
                <w:bCs/>
                <w:sz w:val="18"/>
                <w:szCs w:val="18"/>
              </w:rPr>
              <w:t xml:space="preserve">Nachweis / Fundstelle</w:t>
            </w:r>
          </w:p>
        </w:tc>
      </w:tr>
      <w:tr>
        <w:trPr>
          <w:cantSplit w:val="false"/>
        </w:trPr>
        <w:tc>
          <w:tcPr>
            <w:tcW w:type="dxa" w:w="6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b/>
                <w:bCs/>
                <w:sz w:val="18"/>
                <w:szCs w:val="18"/>
              </w:rPr>
              <w:t xml:space="preserve">G1</w:t>
            </w:r>
          </w:p>
        </w:tc>
        <w:tc>
          <w:tcPr>
            <w:tcW w:type="dxa" w:w="28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lit. a – Verarbeitung nur auf dokumentierte Weisung</w:t>
            </w:r>
          </w:p>
        </w:tc>
        <w:tc>
          <w:tcPr>
            <w:tcW w:type="dxa" w:w="717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Verarbeitung ausschließlich zur vereinbarten Kalendersynchronisation. Weisungen erfolgen in Textform. Keine Übermittlung in Drittländer ohne Weisung. Der Betreiber informiert unverzüglich, wenn er eine Weisung für rechtswidrig hält.</w:t>
            </w:r>
          </w:p>
        </w:tc>
        <w:tc>
          <w:tcPr>
            <w:tcW w:type="dxa" w:w="1150"/>
            <w:tcBorders>
              <w:top w:val="single" w:color="C8CCD4" w:sz="4"/>
              <w:left w:val="single" w:color="C8CCD4" w:sz="4"/>
              <w:bottom w:val="single" w:color="C8CCD4" w:sz="4"/>
              <w:right w:val="single" w:color="C8CCD4" w:sz="4"/>
            </w:tcBorders>
            <w:shd w:fill="FFF3CD" w:color="auto" w:val="clear"/>
            <w:tcMar>
              <w:top w:type="dxa" w:w="80"/>
              <w:left w:type="dxa" w:w="110"/>
              <w:bottom w:type="dxa" w:w="80"/>
              <w:right w:type="dxa" w:w="110"/>
            </w:tcMar>
          </w:tcPr>
          <w:p>
            <w:pPr>
              <w:spacing w:after="60"/>
            </w:pPr>
            <w:r>
              <w:rPr>
                <w:rFonts w:ascii="Arial" w:cs="Arial" w:eastAsia="Arial" w:hAnsi="Arial"/>
                <w:b/>
                <w:bCs/>
                <w:sz w:val="18"/>
                <w:szCs w:val="18"/>
              </w:rPr>
              <w:t xml:space="preserve">Zugesagt</w:t>
            </w:r>
          </w:p>
        </w:tc>
        <w:tc>
          <w:tcPr>
            <w:tcW w:type="dxa" w:w="27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color w:val="5F6368"/>
                <w:sz w:val="16"/>
                <w:szCs w:val="16"/>
              </w:rPr>
              <w:t xml:space="preserve">AVV § 3</w:t>
            </w:r>
          </w:p>
        </w:tc>
      </w:tr>
      <w:tr>
        <w:trPr>
          <w:cantSplit w:val="false"/>
        </w:trPr>
        <w:tc>
          <w:tcPr>
            <w:tcW w:type="dxa" w:w="6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b/>
                <w:bCs/>
                <w:sz w:val="18"/>
                <w:szCs w:val="18"/>
              </w:rPr>
              <w:t xml:space="preserve">G2</w:t>
            </w:r>
          </w:p>
        </w:tc>
        <w:tc>
          <w:tcPr>
            <w:tcW w:type="dxa" w:w="28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lit. b – Vertraulichkeit</w:t>
            </w:r>
          </w:p>
        </w:tc>
        <w:tc>
          <w:tcPr>
            <w:tcW w:type="dxa" w:w="717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Alle Personen mit Zugriffsmöglichkeit sind schriftlich zur Vertraulichkeit verpflichtet (bei Gesundheitskunden zusätzlich nach § 203 StGB).</w:t>
            </w:r>
          </w:p>
        </w:tc>
        <w:tc>
          <w:tcPr>
            <w:tcW w:type="dxa" w:w="1150"/>
            <w:tcBorders>
              <w:top w:val="single" w:color="C8CCD4" w:sz="4"/>
              <w:left w:val="single" w:color="C8CCD4" w:sz="4"/>
              <w:bottom w:val="single" w:color="C8CCD4" w:sz="4"/>
              <w:right w:val="single" w:color="C8CCD4" w:sz="4"/>
            </w:tcBorders>
            <w:shd w:fill="FFF3CD" w:color="auto" w:val="clear"/>
            <w:tcMar>
              <w:top w:type="dxa" w:w="80"/>
              <w:left w:type="dxa" w:w="110"/>
              <w:bottom w:type="dxa" w:w="80"/>
              <w:right w:type="dxa" w:w="110"/>
            </w:tcMar>
          </w:tcPr>
          <w:p>
            <w:pPr>
              <w:spacing w:after="60"/>
            </w:pPr>
            <w:r>
              <w:rPr>
                <w:rFonts w:ascii="Arial" w:cs="Arial" w:eastAsia="Arial" w:hAnsi="Arial"/>
                <w:b/>
                <w:bCs/>
                <w:sz w:val="18"/>
                <w:szCs w:val="18"/>
              </w:rPr>
              <w:t xml:space="preserve">Zugesagt</w:t>
            </w:r>
          </w:p>
        </w:tc>
        <w:tc>
          <w:tcPr>
            <w:tcW w:type="dxa" w:w="27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color w:val="5F6368"/>
                <w:sz w:val="16"/>
                <w:szCs w:val="16"/>
              </w:rPr>
              <w:t xml:space="preserve">AVV § 4, Verpflichtungserklärungen</w:t>
            </w:r>
          </w:p>
        </w:tc>
      </w:tr>
      <w:tr>
        <w:trPr>
          <w:cantSplit w:val="false"/>
        </w:trPr>
        <w:tc>
          <w:tcPr>
            <w:tcW w:type="dxa" w:w="6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b/>
                <w:bCs/>
                <w:sz w:val="18"/>
                <w:szCs w:val="18"/>
              </w:rPr>
              <w:t xml:space="preserve">G3</w:t>
            </w:r>
          </w:p>
        </w:tc>
        <w:tc>
          <w:tcPr>
            <w:tcW w:type="dxa" w:w="28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lit. c – Technische und organisatorische Maßnahmen (Art. 32)</w:t>
            </w:r>
          </w:p>
        </w:tc>
        <w:tc>
          <w:tcPr>
            <w:tcW w:type="dxa" w:w="717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TOMs gemäß diesem Fact Sheet (Abschnitte B–F), als Anlage 2 der AVV verbindlich.</w:t>
            </w:r>
          </w:p>
        </w:tc>
        <w:tc>
          <w:tcPr>
            <w:tcW w:type="dxa" w:w="1150"/>
            <w:tcBorders>
              <w:top w:val="single" w:color="C8CCD4" w:sz="4"/>
              <w:left w:val="single" w:color="C8CCD4" w:sz="4"/>
              <w:bottom w:val="single" w:color="C8CCD4" w:sz="4"/>
              <w:right w:val="single" w:color="C8CCD4" w:sz="4"/>
            </w:tcBorders>
            <w:shd w:fill="FFF3CD" w:color="auto" w:val="clear"/>
            <w:tcMar>
              <w:top w:type="dxa" w:w="80"/>
              <w:left w:type="dxa" w:w="110"/>
              <w:bottom w:type="dxa" w:w="80"/>
              <w:right w:type="dxa" w:w="110"/>
            </w:tcMar>
          </w:tcPr>
          <w:p>
            <w:pPr>
              <w:spacing w:after="60"/>
            </w:pPr>
            <w:r>
              <w:rPr>
                <w:rFonts w:ascii="Arial" w:cs="Arial" w:eastAsia="Arial" w:hAnsi="Arial"/>
                <w:b/>
                <w:bCs/>
                <w:sz w:val="18"/>
                <w:szCs w:val="18"/>
              </w:rPr>
              <w:t xml:space="preserve">Zugesagt</w:t>
            </w:r>
          </w:p>
        </w:tc>
        <w:tc>
          <w:tcPr>
            <w:tcW w:type="dxa" w:w="27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color w:val="5F6368"/>
                <w:sz w:val="16"/>
                <w:szCs w:val="16"/>
              </w:rPr>
              <w:t xml:space="preserve">AVV Anlage 2 (TOMs)</w:t>
            </w:r>
          </w:p>
        </w:tc>
      </w:tr>
      <w:tr>
        <w:trPr>
          <w:cantSplit w:val="false"/>
        </w:trPr>
        <w:tc>
          <w:tcPr>
            <w:tcW w:type="dxa" w:w="6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b/>
                <w:bCs/>
                <w:sz w:val="18"/>
                <w:szCs w:val="18"/>
              </w:rPr>
              <w:t xml:space="preserve">G4</w:t>
            </w:r>
          </w:p>
        </w:tc>
        <w:tc>
          <w:tcPr>
            <w:tcW w:type="dxa" w:w="28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lit. d – Unterauftragsverarbeiter</w:t>
            </w:r>
          </w:p>
        </w:tc>
        <w:tc>
          <w:tcPr>
            <w:tcW w:type="dxa" w:w="717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Abschließende Liste in Anlage 3 (Hosting: Amazon Web Services EMEA SARL, Region Frankfurt). Neue oder geänderte Unterauftragsverarbeiter werden mindestens 30 Tage vorher angekündigt. Der Auftraggeber hat ein Widerspruchsrecht. Gleichwertige Pflichten werden weitergegeben.</w:t>
            </w:r>
          </w:p>
        </w:tc>
        <w:tc>
          <w:tcPr>
            <w:tcW w:type="dxa" w:w="1150"/>
            <w:tcBorders>
              <w:top w:val="single" w:color="C8CCD4" w:sz="4"/>
              <w:left w:val="single" w:color="C8CCD4" w:sz="4"/>
              <w:bottom w:val="single" w:color="C8CCD4" w:sz="4"/>
              <w:right w:val="single" w:color="C8CCD4" w:sz="4"/>
            </w:tcBorders>
            <w:shd w:fill="FFF3CD" w:color="auto" w:val="clear"/>
            <w:tcMar>
              <w:top w:type="dxa" w:w="80"/>
              <w:left w:type="dxa" w:w="110"/>
              <w:bottom w:type="dxa" w:w="80"/>
              <w:right w:type="dxa" w:w="110"/>
            </w:tcMar>
          </w:tcPr>
          <w:p>
            <w:pPr>
              <w:spacing w:after="60"/>
            </w:pPr>
            <w:r>
              <w:rPr>
                <w:rFonts w:ascii="Arial" w:cs="Arial" w:eastAsia="Arial" w:hAnsi="Arial"/>
                <w:b/>
                <w:bCs/>
                <w:sz w:val="18"/>
                <w:szCs w:val="18"/>
              </w:rPr>
              <w:t xml:space="preserve">Zugesagt</w:t>
            </w:r>
          </w:p>
        </w:tc>
        <w:tc>
          <w:tcPr>
            <w:tcW w:type="dxa" w:w="27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color w:val="5F6368"/>
                <w:sz w:val="16"/>
                <w:szCs w:val="16"/>
              </w:rPr>
              <w:t xml:space="preserve">AVV § 6, Anlage 3</w:t>
            </w:r>
          </w:p>
        </w:tc>
      </w:tr>
      <w:tr>
        <w:trPr>
          <w:cantSplit w:val="false"/>
        </w:trPr>
        <w:tc>
          <w:tcPr>
            <w:tcW w:type="dxa" w:w="6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b/>
                <w:bCs/>
                <w:sz w:val="18"/>
                <w:szCs w:val="18"/>
              </w:rPr>
              <w:t xml:space="preserve">G5</w:t>
            </w:r>
          </w:p>
        </w:tc>
        <w:tc>
          <w:tcPr>
            <w:tcW w:type="dxa" w:w="28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lit. e – Unterstützung bei Betroffenenrechten</w:t>
            </w:r>
          </w:p>
        </w:tc>
        <w:tc>
          <w:tcPr>
            <w:tcW w:type="dxa" w:w="717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Auskunft, Berichtigung und Löschung je Person über SCIM bzw. Admin-Export. Anfragen, die beim Betreiber eingehen, werden unverzüglich an den Auftraggeber weitergeleitet.</w:t>
            </w:r>
          </w:p>
        </w:tc>
        <w:tc>
          <w:tcPr>
            <w:tcW w:type="dxa" w:w="1150"/>
            <w:tcBorders>
              <w:top w:val="single" w:color="C8CCD4" w:sz="4"/>
              <w:left w:val="single" w:color="C8CCD4" w:sz="4"/>
              <w:bottom w:val="single" w:color="C8CCD4" w:sz="4"/>
              <w:right w:val="single" w:color="C8CCD4" w:sz="4"/>
            </w:tcBorders>
            <w:shd w:fill="FFF3CD" w:color="auto" w:val="clear"/>
            <w:tcMar>
              <w:top w:type="dxa" w:w="80"/>
              <w:left w:type="dxa" w:w="110"/>
              <w:bottom w:type="dxa" w:w="80"/>
              <w:right w:type="dxa" w:w="110"/>
            </w:tcMar>
          </w:tcPr>
          <w:p>
            <w:pPr>
              <w:spacing w:after="60"/>
            </w:pPr>
            <w:r>
              <w:rPr>
                <w:rFonts w:ascii="Arial" w:cs="Arial" w:eastAsia="Arial" w:hAnsi="Arial"/>
                <w:b/>
                <w:bCs/>
                <w:sz w:val="18"/>
                <w:szCs w:val="18"/>
              </w:rPr>
              <w:t xml:space="preserve">Zugesagt</w:t>
            </w:r>
          </w:p>
        </w:tc>
        <w:tc>
          <w:tcPr>
            <w:tcW w:type="dxa" w:w="27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color w:val="5F6368"/>
                <w:sz w:val="16"/>
                <w:szCs w:val="16"/>
              </w:rPr>
              <w:t xml:space="preserve">AVV § 7</w:t>
            </w:r>
          </w:p>
        </w:tc>
      </w:tr>
      <w:tr>
        <w:trPr>
          <w:cantSplit w:val="false"/>
        </w:trPr>
        <w:tc>
          <w:tcPr>
            <w:tcW w:type="dxa" w:w="6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b/>
                <w:bCs/>
                <w:sz w:val="18"/>
                <w:szCs w:val="18"/>
              </w:rPr>
              <w:t xml:space="preserve">G6</w:t>
            </w:r>
          </w:p>
        </w:tc>
        <w:tc>
          <w:tcPr>
            <w:tcW w:type="dxa" w:w="28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lit. f – Unterstützung bei Art. 32–36 (Sicherheit, Meldung, DSFA)</w:t>
            </w:r>
          </w:p>
        </w:tc>
        <w:tc>
          <w:tcPr>
            <w:tcW w:type="dxa" w:w="717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Meldung von Datenschutzverletzungen an den Auftraggeber unverzüglich, spätestens </w:t>
            </w:r>
            <w:r>
              <w:rPr>
                <w:rFonts w:ascii="Arial" w:cs="Arial" w:eastAsia="Arial" w:hAnsi="Arial"/>
                <w:b/>
                <w:bCs/>
                <w:sz w:val="18"/>
                <w:szCs w:val="18"/>
              </w:rPr>
              <w:t xml:space="preserve">24 Stunden</w:t>
            </w:r>
            <w:r>
              <w:rPr>
                <w:rFonts w:ascii="Arial" w:cs="Arial" w:eastAsia="Arial" w:hAnsi="Arial"/>
                <w:sz w:val="18"/>
                <w:szCs w:val="18"/>
              </w:rPr>
              <w:t xml:space="preserve"> nach Kenntnis, mit den Angaben nach Art. 33 Abs. 3. So bleibt dem Auftraggeber Zeit für die 72-Stunden-Frist. Zuarbeit zur DSFA mit Datenflussdiagramm und Risikoanalyse.</w:t>
            </w:r>
          </w:p>
        </w:tc>
        <w:tc>
          <w:tcPr>
            <w:tcW w:type="dxa" w:w="1150"/>
            <w:tcBorders>
              <w:top w:val="single" w:color="C8CCD4" w:sz="4"/>
              <w:left w:val="single" w:color="C8CCD4" w:sz="4"/>
              <w:bottom w:val="single" w:color="C8CCD4" w:sz="4"/>
              <w:right w:val="single" w:color="C8CCD4" w:sz="4"/>
            </w:tcBorders>
            <w:shd w:fill="FFF3CD" w:color="auto" w:val="clear"/>
            <w:tcMar>
              <w:top w:type="dxa" w:w="80"/>
              <w:left w:type="dxa" w:w="110"/>
              <w:bottom w:type="dxa" w:w="80"/>
              <w:right w:type="dxa" w:w="110"/>
            </w:tcMar>
          </w:tcPr>
          <w:p>
            <w:pPr>
              <w:spacing w:after="60"/>
            </w:pPr>
            <w:r>
              <w:rPr>
                <w:rFonts w:ascii="Arial" w:cs="Arial" w:eastAsia="Arial" w:hAnsi="Arial"/>
                <w:b/>
                <w:bCs/>
                <w:sz w:val="18"/>
                <w:szCs w:val="18"/>
              </w:rPr>
              <w:t xml:space="preserve">Zugesagt</w:t>
            </w:r>
          </w:p>
        </w:tc>
        <w:tc>
          <w:tcPr>
            <w:tcW w:type="dxa" w:w="27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color w:val="5F6368"/>
                <w:sz w:val="16"/>
                <w:szCs w:val="16"/>
              </w:rPr>
              <w:t xml:space="preserve">AVV § 8, Incident-Response-Plan</w:t>
            </w:r>
          </w:p>
        </w:tc>
      </w:tr>
      <w:tr>
        <w:trPr>
          <w:cantSplit w:val="false"/>
        </w:trPr>
        <w:tc>
          <w:tcPr>
            <w:tcW w:type="dxa" w:w="6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b/>
                <w:bCs/>
                <w:sz w:val="18"/>
                <w:szCs w:val="18"/>
              </w:rPr>
              <w:t xml:space="preserve">G7</w:t>
            </w:r>
          </w:p>
        </w:tc>
        <w:tc>
          <w:tcPr>
            <w:tcW w:type="dxa" w:w="28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lit. g – Löschung oder Rückgabe nach Vertragsende</w:t>
            </w:r>
          </w:p>
        </w:tc>
        <w:tc>
          <w:tcPr>
            <w:tcW w:type="dxa" w:w="717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Wahlweise Export (JSON) und anschließende Löschung. Technisch: Abbau des Mandanten-Stacks und Löschung des dedizierten AWS-Accounts. Die KMS-Schlüssel werden zur Löschung vorgemerkt (30 Tage), danach sind alle verbliebenen Kopien inklusive Backups kryptografisch unlesbar. Der Auftraggeber erhält ein Löschprotokoll. Gesperrte Backups erlöschen spätestens mit Ablauf ihrer Mindestaufbewahrung.</w:t>
            </w:r>
          </w:p>
        </w:tc>
        <w:tc>
          <w:tcPr>
            <w:tcW w:type="dxa" w:w="1150"/>
            <w:tcBorders>
              <w:top w:val="single" w:color="C8CCD4" w:sz="4"/>
              <w:left w:val="single" w:color="C8CCD4" w:sz="4"/>
              <w:bottom w:val="single" w:color="C8CCD4" w:sz="4"/>
              <w:right w:val="single" w:color="C8CCD4" w:sz="4"/>
            </w:tcBorders>
            <w:shd w:fill="FFF3CD" w:color="auto" w:val="clear"/>
            <w:tcMar>
              <w:top w:type="dxa" w:w="80"/>
              <w:left w:type="dxa" w:w="110"/>
              <w:bottom w:type="dxa" w:w="80"/>
              <w:right w:type="dxa" w:w="110"/>
            </w:tcMar>
          </w:tcPr>
          <w:p>
            <w:pPr>
              <w:spacing w:after="60"/>
            </w:pPr>
            <w:r>
              <w:rPr>
                <w:rFonts w:ascii="Arial" w:cs="Arial" w:eastAsia="Arial" w:hAnsi="Arial"/>
                <w:b/>
                <w:bCs/>
                <w:sz w:val="18"/>
                <w:szCs w:val="18"/>
              </w:rPr>
              <w:t xml:space="preserve">Zugesagt</w:t>
            </w:r>
          </w:p>
        </w:tc>
        <w:tc>
          <w:tcPr>
            <w:tcW w:type="dxa" w:w="27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color w:val="5F6368"/>
                <w:sz w:val="16"/>
                <w:szCs w:val="16"/>
              </w:rPr>
              <w:t xml:space="preserve">AVV § 10, Löschprotokoll-Vorlage</w:t>
            </w:r>
          </w:p>
        </w:tc>
      </w:tr>
      <w:tr>
        <w:trPr>
          <w:cantSplit w:val="false"/>
        </w:trPr>
        <w:tc>
          <w:tcPr>
            <w:tcW w:type="dxa" w:w="6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b/>
                <w:bCs/>
                <w:sz w:val="18"/>
                <w:szCs w:val="18"/>
              </w:rPr>
              <w:t xml:space="preserve">G8</w:t>
            </w:r>
          </w:p>
        </w:tc>
        <w:tc>
          <w:tcPr>
            <w:tcW w:type="dxa" w:w="28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lit. h – Nachweise, Audits, Inspektionen</w:t>
            </w:r>
          </w:p>
        </w:tc>
        <w:tc>
          <w:tcPr>
            <w:tcW w:type="dxa" w:w="717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Bereitstellung dieses Fact Sheets, der Terraform-Konfiguration, von Restore- und Pentest-Berichten. Vor-Ort- oder Remote-Audits durch den Auftraggeber oder einen Prüfer mit 30 Tagen Vorlauf. AWS-Infrastrukturnachweise (ISO 27001/27017/27018, SOC 2, BSI C5) über AWS Artifact.</w:t>
            </w:r>
          </w:p>
        </w:tc>
        <w:tc>
          <w:tcPr>
            <w:tcW w:type="dxa" w:w="1150"/>
            <w:tcBorders>
              <w:top w:val="single" w:color="C8CCD4" w:sz="4"/>
              <w:left w:val="single" w:color="C8CCD4" w:sz="4"/>
              <w:bottom w:val="single" w:color="C8CCD4" w:sz="4"/>
              <w:right w:val="single" w:color="C8CCD4" w:sz="4"/>
            </w:tcBorders>
            <w:shd w:fill="FFF3CD" w:color="auto" w:val="clear"/>
            <w:tcMar>
              <w:top w:type="dxa" w:w="80"/>
              <w:left w:type="dxa" w:w="110"/>
              <w:bottom w:type="dxa" w:w="80"/>
              <w:right w:type="dxa" w:w="110"/>
            </w:tcMar>
          </w:tcPr>
          <w:p>
            <w:pPr>
              <w:spacing w:after="60"/>
            </w:pPr>
            <w:r>
              <w:rPr>
                <w:rFonts w:ascii="Arial" w:cs="Arial" w:eastAsia="Arial" w:hAnsi="Arial"/>
                <w:b/>
                <w:bCs/>
                <w:sz w:val="18"/>
                <w:szCs w:val="18"/>
              </w:rPr>
              <w:t xml:space="preserve">Zugesagt</w:t>
            </w:r>
          </w:p>
        </w:tc>
        <w:tc>
          <w:tcPr>
            <w:tcW w:type="dxa" w:w="27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color w:val="5F6368"/>
                <w:sz w:val="16"/>
                <w:szCs w:val="16"/>
              </w:rPr>
              <w:t xml:space="preserve">AVV § 9</w:t>
            </w:r>
          </w:p>
        </w:tc>
      </w:tr>
    </w:tbl>
    <w:p>
      <w:pPr>
        <w:pStyle w:val="Heading1"/>
        <w:spacing w:after="160" w:before="360"/>
      </w:pPr>
      <w:r>
        <w:rPr>
          <w:rFonts w:ascii="Arial" w:cs="Arial" w:eastAsia="Arial" w:hAnsi="Arial"/>
        </w:rPr>
        <w:t xml:space="preserve">H · Zertifizierungen, Prüfungen und Regulierung</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
        <w:gridCol w:w="2850"/>
        <w:gridCol w:w="7170"/>
        <w:gridCol w:w="1150"/>
        <w:gridCol w:w="2750"/>
      </w:tblGrid>
      <w:tr>
        <w:trPr>
          <w:tblHeader/>
        </w:trPr>
        <w:tc>
          <w:tcPr>
            <w:tcW w:type="dxa" w:w="650"/>
            <w:tcBorders>
              <w:top w:val="single" w:color="C8CCD4" w:sz="4"/>
              <w:left w:val="single" w:color="C8CCD4" w:sz="4"/>
              <w:bottom w:val="single" w:color="C8CCD4" w:sz="4"/>
              <w:right w:val="single" w:color="C8CCD4" w:sz="4"/>
            </w:tcBorders>
            <w:shd w:fill="E8E7F7" w:color="auto" w:val="clear"/>
            <w:tcMar>
              <w:top w:type="dxa" w:w="80"/>
              <w:left w:type="dxa" w:w="110"/>
              <w:bottom w:type="dxa" w:w="80"/>
              <w:right w:type="dxa" w:w="110"/>
            </w:tcMar>
          </w:tcPr>
          <w:p>
            <w:pPr>
              <w:spacing w:after="60"/>
            </w:pPr>
            <w:r>
              <w:rPr>
                <w:rFonts w:ascii="Arial" w:cs="Arial" w:eastAsia="Arial" w:hAnsi="Arial"/>
                <w:b/>
                <w:bCs/>
                <w:sz w:val="18"/>
                <w:szCs w:val="18"/>
              </w:rPr>
              <w:t xml:space="preserve">Nr.</w:t>
            </w:r>
          </w:p>
        </w:tc>
        <w:tc>
          <w:tcPr>
            <w:tcW w:type="dxa" w:w="2850"/>
            <w:tcBorders>
              <w:top w:val="single" w:color="C8CCD4" w:sz="4"/>
              <w:left w:val="single" w:color="C8CCD4" w:sz="4"/>
              <w:bottom w:val="single" w:color="C8CCD4" w:sz="4"/>
              <w:right w:val="single" w:color="C8CCD4" w:sz="4"/>
            </w:tcBorders>
            <w:shd w:fill="E8E7F7" w:color="auto" w:val="clear"/>
            <w:tcMar>
              <w:top w:type="dxa" w:w="80"/>
              <w:left w:type="dxa" w:w="110"/>
              <w:bottom w:type="dxa" w:w="80"/>
              <w:right w:type="dxa" w:w="110"/>
            </w:tcMar>
          </w:tcPr>
          <w:p>
            <w:pPr>
              <w:spacing w:after="60"/>
            </w:pPr>
            <w:r>
              <w:rPr>
                <w:rFonts w:ascii="Arial" w:cs="Arial" w:eastAsia="Arial" w:hAnsi="Arial"/>
                <w:b/>
                <w:bCs/>
                <w:sz w:val="18"/>
                <w:szCs w:val="18"/>
              </w:rPr>
              <w:t xml:space="preserve">Frage des Auftraggebers</w:t>
            </w:r>
          </w:p>
        </w:tc>
        <w:tc>
          <w:tcPr>
            <w:tcW w:type="dxa" w:w="7170"/>
            <w:tcBorders>
              <w:top w:val="single" w:color="C8CCD4" w:sz="4"/>
              <w:left w:val="single" w:color="C8CCD4" w:sz="4"/>
              <w:bottom w:val="single" w:color="C8CCD4" w:sz="4"/>
              <w:right w:val="single" w:color="C8CCD4" w:sz="4"/>
            </w:tcBorders>
            <w:shd w:fill="E8E7F7" w:color="auto" w:val="clear"/>
            <w:tcMar>
              <w:top w:type="dxa" w:w="80"/>
              <w:left w:type="dxa" w:w="110"/>
              <w:bottom w:type="dxa" w:w="80"/>
              <w:right w:type="dxa" w:w="110"/>
            </w:tcMar>
          </w:tcPr>
          <w:p>
            <w:pPr>
              <w:spacing w:after="60"/>
            </w:pPr>
            <w:r>
              <w:rPr>
                <w:rFonts w:ascii="Arial" w:cs="Arial" w:eastAsia="Arial" w:hAnsi="Arial"/>
                <w:b/>
                <w:bCs/>
                <w:sz w:val="18"/>
                <w:szCs w:val="18"/>
              </w:rPr>
              <w:t xml:space="preserve">Antwort des Betreibers</w:t>
            </w:r>
          </w:p>
        </w:tc>
        <w:tc>
          <w:tcPr>
            <w:tcW w:type="dxa" w:w="1150"/>
            <w:tcBorders>
              <w:top w:val="single" w:color="C8CCD4" w:sz="4"/>
              <w:left w:val="single" w:color="C8CCD4" w:sz="4"/>
              <w:bottom w:val="single" w:color="C8CCD4" w:sz="4"/>
              <w:right w:val="single" w:color="C8CCD4" w:sz="4"/>
            </w:tcBorders>
            <w:shd w:fill="E8E7F7" w:color="auto" w:val="clear"/>
            <w:tcMar>
              <w:top w:type="dxa" w:w="80"/>
              <w:left w:type="dxa" w:w="110"/>
              <w:bottom w:type="dxa" w:w="80"/>
              <w:right w:type="dxa" w:w="110"/>
            </w:tcMar>
          </w:tcPr>
          <w:p>
            <w:pPr>
              <w:spacing w:after="60"/>
            </w:pPr>
            <w:r>
              <w:rPr>
                <w:rFonts w:ascii="Arial" w:cs="Arial" w:eastAsia="Arial" w:hAnsi="Arial"/>
                <w:b/>
                <w:bCs/>
                <w:sz w:val="18"/>
                <w:szCs w:val="18"/>
              </w:rPr>
              <w:t xml:space="preserve">Status</w:t>
            </w:r>
          </w:p>
        </w:tc>
        <w:tc>
          <w:tcPr>
            <w:tcW w:type="dxa" w:w="2750"/>
            <w:tcBorders>
              <w:top w:val="single" w:color="C8CCD4" w:sz="4"/>
              <w:left w:val="single" w:color="C8CCD4" w:sz="4"/>
              <w:bottom w:val="single" w:color="C8CCD4" w:sz="4"/>
              <w:right w:val="single" w:color="C8CCD4" w:sz="4"/>
            </w:tcBorders>
            <w:shd w:fill="E8E7F7" w:color="auto" w:val="clear"/>
            <w:tcMar>
              <w:top w:type="dxa" w:w="80"/>
              <w:left w:type="dxa" w:w="110"/>
              <w:bottom w:type="dxa" w:w="80"/>
              <w:right w:type="dxa" w:w="110"/>
            </w:tcMar>
          </w:tcPr>
          <w:p>
            <w:pPr>
              <w:spacing w:after="60"/>
            </w:pPr>
            <w:r>
              <w:rPr>
                <w:rFonts w:ascii="Arial" w:cs="Arial" w:eastAsia="Arial" w:hAnsi="Arial"/>
                <w:b/>
                <w:bCs/>
                <w:sz w:val="18"/>
                <w:szCs w:val="18"/>
              </w:rPr>
              <w:t xml:space="preserve">Nachweis / Fundstelle</w:t>
            </w:r>
          </w:p>
        </w:tc>
      </w:tr>
      <w:tr>
        <w:trPr>
          <w:cantSplit w:val="false"/>
        </w:trPr>
        <w:tc>
          <w:tcPr>
            <w:tcW w:type="dxa" w:w="6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b/>
                <w:bCs/>
                <w:sz w:val="18"/>
                <w:szCs w:val="18"/>
              </w:rPr>
              <w:t xml:space="preserve">H1</w:t>
            </w:r>
          </w:p>
        </w:tc>
        <w:tc>
          <w:tcPr>
            <w:tcW w:type="dxa" w:w="28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Ist der Betreiber nach ISO/IEC 27001 zertifiziert?</w:t>
            </w:r>
          </w:p>
        </w:tc>
        <w:tc>
          <w:tcPr>
            <w:tcW w:type="dxa" w:w="717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b/>
                <w:bCs/>
                <w:sz w:val="18"/>
                <w:szCs w:val="18"/>
              </w:rPr>
              <w:t xml:space="preserve">Nein, derzeit nicht.</w:t>
            </w:r>
            <w:r>
              <w:rPr>
                <w:rFonts w:ascii="Arial" w:cs="Arial" w:eastAsia="Arial" w:hAnsi="Arial"/>
                <w:sz w:val="18"/>
                <w:szCs w:val="18"/>
              </w:rPr>
              <w:t xml:space="preserve"> Der Aufbau eines ISMS nach ISO/IEC 27001 ist geplant. Bis zur Zertifizierung gelten die AWS-Zertifikate nur für die Infrastrukturschicht, nicht für Anwendung und Betrieb von CalenSync.</w:t>
            </w:r>
          </w:p>
        </w:tc>
        <w:tc>
          <w:tcPr>
            <w:tcW w:type="dxa" w:w="1150"/>
            <w:tcBorders>
              <w:top w:val="single" w:color="C8CCD4" w:sz="4"/>
              <w:left w:val="single" w:color="C8CCD4" w:sz="4"/>
              <w:bottom w:val="single" w:color="C8CCD4" w:sz="4"/>
              <w:right w:val="single" w:color="C8CCD4" w:sz="4"/>
            </w:tcBorders>
            <w:shd w:fill="F8D7DA" w:color="auto" w:val="clear"/>
            <w:tcMar>
              <w:top w:type="dxa" w:w="80"/>
              <w:left w:type="dxa" w:w="110"/>
              <w:bottom w:type="dxa" w:w="80"/>
              <w:right w:type="dxa" w:w="110"/>
            </w:tcMar>
          </w:tcPr>
          <w:p>
            <w:pPr>
              <w:spacing w:after="60"/>
            </w:pPr>
            <w:r>
              <w:rPr>
                <w:rFonts w:ascii="Arial" w:cs="Arial" w:eastAsia="Arial" w:hAnsi="Arial"/>
                <w:b/>
                <w:bCs/>
                <w:sz w:val="18"/>
                <w:szCs w:val="18"/>
              </w:rPr>
              <w:t xml:space="preserve">Offen</w:t>
            </w:r>
          </w:p>
        </w:tc>
        <w:tc>
          <w:tcPr>
            <w:tcW w:type="dxa" w:w="27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color w:val="5F6368"/>
                <w:sz w:val="16"/>
                <w:szCs w:val="16"/>
              </w:rPr>
              <w:t xml:space="preserve">Roadmap ISMS; AWS Artifact</w:t>
            </w:r>
          </w:p>
        </w:tc>
      </w:tr>
      <w:tr>
        <w:trPr>
          <w:cantSplit w:val="false"/>
        </w:trPr>
        <w:tc>
          <w:tcPr>
            <w:tcW w:type="dxa" w:w="6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b/>
                <w:bCs/>
                <w:sz w:val="18"/>
                <w:szCs w:val="18"/>
              </w:rPr>
              <w:t xml:space="preserve">H2</w:t>
            </w:r>
          </w:p>
        </w:tc>
        <w:tc>
          <w:tcPr>
            <w:tcW w:type="dxa" w:w="28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Unabhängiger Penetrationstest?</w:t>
            </w:r>
          </w:p>
        </w:tc>
        <w:tc>
          <w:tcPr>
            <w:tcW w:type="dxa" w:w="717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Ein externer Penetrationstest von Anwendung und Mandanten-Stack ist vor dem Produktivstart zu beauftragen, danach jährlich und nach wesentlichen Änderungen. Kritische Befunde werden vor dem Go-live behoben.</w:t>
            </w:r>
          </w:p>
        </w:tc>
        <w:tc>
          <w:tcPr>
            <w:tcW w:type="dxa" w:w="1150"/>
            <w:tcBorders>
              <w:top w:val="single" w:color="C8CCD4" w:sz="4"/>
              <w:left w:val="single" w:color="C8CCD4" w:sz="4"/>
              <w:bottom w:val="single" w:color="C8CCD4" w:sz="4"/>
              <w:right w:val="single" w:color="C8CCD4" w:sz="4"/>
            </w:tcBorders>
            <w:shd w:fill="F8D7DA" w:color="auto" w:val="clear"/>
            <w:tcMar>
              <w:top w:type="dxa" w:w="80"/>
              <w:left w:type="dxa" w:w="110"/>
              <w:bottom w:type="dxa" w:w="80"/>
              <w:right w:type="dxa" w:w="110"/>
            </w:tcMar>
          </w:tcPr>
          <w:p>
            <w:pPr>
              <w:spacing w:after="60"/>
            </w:pPr>
            <w:r>
              <w:rPr>
                <w:rFonts w:ascii="Arial" w:cs="Arial" w:eastAsia="Arial" w:hAnsi="Arial"/>
                <w:b/>
                <w:bCs/>
                <w:sz w:val="18"/>
                <w:szCs w:val="18"/>
              </w:rPr>
              <w:t xml:space="preserve">Offen</w:t>
            </w:r>
          </w:p>
        </w:tc>
        <w:tc>
          <w:tcPr>
            <w:tcW w:type="dxa" w:w="27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color w:val="5F6368"/>
                <w:sz w:val="16"/>
                <w:szCs w:val="16"/>
              </w:rPr>
              <w:t xml:space="preserve">Pentest-Bericht (ausstehend)</w:t>
            </w:r>
          </w:p>
        </w:tc>
      </w:tr>
      <w:tr>
        <w:trPr>
          <w:cantSplit w:val="false"/>
        </w:trPr>
        <w:tc>
          <w:tcPr>
            <w:tcW w:type="dxa" w:w="6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b/>
                <w:bCs/>
                <w:sz w:val="18"/>
                <w:szCs w:val="18"/>
              </w:rPr>
              <w:t xml:space="preserve">H3</w:t>
            </w:r>
          </w:p>
        </w:tc>
        <w:tc>
          <w:tcPr>
            <w:tcW w:type="dxa" w:w="28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Sicherer Entwicklungsprozess?</w:t>
            </w:r>
          </w:p>
        </w:tc>
        <w:tc>
          <w:tcPr>
            <w:tcW w:type="dxa" w:w="717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Automatisierte Testsuite im ausgelieferten Code mit 223 Tests (app 51, core 119, scim 48, Frontend-Client 5), davon 24 gegen echtes PostgreSQL 16; u. a. Mandantentrennung, Kill-Switch-Transaktion, Sperr-Reihenfolge, SCIM-Transport-Härtung, Webhook-Validierung, Zielfreigabe (Allowlist) und Identitätsprüfung in API und Worker für Microsoft 365 und Google Workspace, Kanarienvogel-Tests für Termininhalte, Bereinigung der Zieltermine inkl. Historie. Migrationen werden auf einer leeren Datenbank und idempotent geprüft; die Terraform-Konfiguration besteht terraform validate (AWS-Provider 6.67). Abhängigkeiten ohne bekannte Schwachstellen (npm audit). Container-Images werden per Digest gepinnt. Schwachstellenscan der Images im CI ist geplant.</w:t>
            </w:r>
          </w:p>
        </w:tc>
        <w:tc>
          <w:tcPr>
            <w:tcW w:type="dxa" w:w="1150"/>
            <w:tcBorders>
              <w:top w:val="single" w:color="C8CCD4" w:sz="4"/>
              <w:left w:val="single" w:color="C8CCD4" w:sz="4"/>
              <w:bottom w:val="single" w:color="C8CCD4" w:sz="4"/>
              <w:right w:val="single" w:color="C8CCD4" w:sz="4"/>
            </w:tcBorders>
            <w:shd w:fill="FFF3CD" w:color="auto" w:val="clear"/>
            <w:tcMar>
              <w:top w:type="dxa" w:w="80"/>
              <w:left w:type="dxa" w:w="110"/>
              <w:bottom w:type="dxa" w:w="80"/>
              <w:right w:type="dxa" w:w="110"/>
            </w:tcMar>
          </w:tcPr>
          <w:p>
            <w:pPr>
              <w:spacing w:after="60"/>
            </w:pPr>
            <w:r>
              <w:rPr>
                <w:rFonts w:ascii="Arial" w:cs="Arial" w:eastAsia="Arial" w:hAnsi="Arial"/>
                <w:b/>
                <w:bCs/>
                <w:sz w:val="18"/>
                <w:szCs w:val="18"/>
              </w:rPr>
              <w:t xml:space="preserve">Zugesagt</w:t>
            </w:r>
          </w:p>
        </w:tc>
        <w:tc>
          <w:tcPr>
            <w:tcW w:type="dxa" w:w="27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color w:val="5F6368"/>
                <w:sz w:val="16"/>
                <w:szCs w:val="16"/>
              </w:rPr>
              <w:t xml:space="preserve">3-enterprise: app/test, core/test, scim/test, frontend/; Chaos- und Lasttests der separaten QA-Suite sind nicht Teil der Lieferung</w:t>
            </w:r>
          </w:p>
        </w:tc>
      </w:tr>
      <w:tr>
        <w:trPr>
          <w:cantSplit w:val="false"/>
        </w:trPr>
        <w:tc>
          <w:tcPr>
            <w:tcW w:type="dxa" w:w="6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b/>
                <w:bCs/>
                <w:sz w:val="18"/>
                <w:szCs w:val="18"/>
              </w:rPr>
              <w:t xml:space="preserve">H4</w:t>
            </w:r>
          </w:p>
        </w:tc>
        <w:tc>
          <w:tcPr>
            <w:tcW w:type="dxa" w:w="28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Regulatorische Zusatzanforderungen des Auftraggebers (DORA, NIS2, KRITIS)?</w:t>
            </w:r>
          </w:p>
        </w:tc>
        <w:tc>
          <w:tcPr>
            <w:tcW w:type="dxa" w:w="717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sz w:val="18"/>
                <w:szCs w:val="18"/>
              </w:rPr>
              <w:t xml:space="preserve">Ist der Auftraggeber ein Finanzunternehmen im Sinne von DORA, werden die Vertragsinhalte nach Art. 30 DORA (u. a. Prüf- und Zugangsrechte, Exit-Strategie, Kündigungsrechte) in einer Zusatzvereinbarung abgebildet. NIS2- und KRITIS-Pflichten des Auftraggebers werden durch Meldewege und Nachweise unterstützt.</w:t>
            </w:r>
          </w:p>
        </w:tc>
        <w:tc>
          <w:tcPr>
            <w:tcW w:type="dxa" w:w="1150"/>
            <w:tcBorders>
              <w:top w:val="single" w:color="C8CCD4" w:sz="4"/>
              <w:left w:val="single" w:color="C8CCD4" w:sz="4"/>
              <w:bottom w:val="single" w:color="C8CCD4" w:sz="4"/>
              <w:right w:val="single" w:color="C8CCD4" w:sz="4"/>
            </w:tcBorders>
            <w:shd w:fill="FFF3CD" w:color="auto" w:val="clear"/>
            <w:tcMar>
              <w:top w:type="dxa" w:w="80"/>
              <w:left w:type="dxa" w:w="110"/>
              <w:bottom w:type="dxa" w:w="80"/>
              <w:right w:type="dxa" w:w="110"/>
            </w:tcMar>
          </w:tcPr>
          <w:p>
            <w:pPr>
              <w:spacing w:after="60"/>
            </w:pPr>
            <w:r>
              <w:rPr>
                <w:rFonts w:ascii="Arial" w:cs="Arial" w:eastAsia="Arial" w:hAnsi="Arial"/>
                <w:b/>
                <w:bCs/>
                <w:sz w:val="18"/>
                <w:szCs w:val="18"/>
              </w:rPr>
              <w:t xml:space="preserve">Zugesagt</w:t>
            </w:r>
          </w:p>
        </w:tc>
        <w:tc>
          <w:tcPr>
            <w:tcW w:type="dxa" w:w="2750"/>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color w:val="5F6368"/>
                <w:sz w:val="16"/>
                <w:szCs w:val="16"/>
              </w:rPr>
              <w:t xml:space="preserve">Zusatzvereinbarung auf Anfrage</w:t>
            </w:r>
          </w:p>
        </w:tc>
      </w:tr>
    </w:tbl>
    <w:p>
      <w:pPr>
        <w:pStyle w:val="Heading1"/>
        <w:spacing w:after="160" w:before="360"/>
      </w:pPr>
      <w:r>
        <w:rPr>
          <w:rFonts w:ascii="Arial" w:cs="Arial" w:eastAsia="Arial" w:hAnsi="Arial"/>
        </w:rPr>
        <w:t xml:space="preserve">Offene Punkte vor Produktivstart</w:t>
      </w:r>
    </w:p>
    <w:p>
      <w:pPr>
        <w:pStyle w:val="ListParagraph"/>
        <w:numPr>
          <w:ilvl w:val="0"/>
          <w:numId w:val="2"/>
        </w:numPr>
        <w:spacing w:after="60"/>
      </w:pPr>
      <w:r>
        <w:rPr>
          <w:rFonts w:ascii="Arial" w:cs="Arial" w:eastAsia="Arial" w:hAnsi="Arial"/>
          <w:sz w:val="20"/>
          <w:szCs w:val="20"/>
        </w:rPr>
        <w:t xml:space="preserve">H1 ISMS nach ISO/IEC 27001: Projektplan und Zieltermin an den Auftraggeber übergeben.</w:t>
      </w:r>
    </w:p>
    <w:p>
      <w:pPr>
        <w:pStyle w:val="ListParagraph"/>
        <w:numPr>
          <w:ilvl w:val="0"/>
          <w:numId w:val="2"/>
        </w:numPr>
        <w:spacing w:after="60"/>
      </w:pPr>
      <w:r>
        <w:rPr>
          <w:rFonts w:ascii="Arial" w:cs="Arial" w:eastAsia="Arial" w:hAnsi="Arial"/>
          <w:sz w:val="20"/>
          <w:szCs w:val="20"/>
        </w:rPr>
        <w:t xml:space="preserve">A1 Kalenderabgleich und Bereinigung der Zieltermine mit einem echten Microsoft-365-Testmandanten abnehmen (bisher gegen eine Graph-Nachbildung getestet); Google-Ziele sind noch nicht unterstützt.</w:t>
      </w:r>
    </w:p>
    <w:p>
      <w:pPr>
        <w:pStyle w:val="ListParagraph"/>
        <w:numPr>
          <w:ilvl w:val="0"/>
          <w:numId w:val="2"/>
        </w:numPr>
        <w:spacing w:after="60"/>
      </w:pPr>
      <w:r>
        <w:rPr>
          <w:rFonts w:ascii="Arial" w:cs="Arial" w:eastAsia="Arial" w:hAnsi="Arial"/>
          <w:sz w:val="20"/>
          <w:szCs w:val="20"/>
        </w:rPr>
        <w:t xml:space="preserve">H2 Externer Penetrationstest inkl. Behebung kritischer und hoher Befunde.</w:t>
      </w:r>
    </w:p>
    <w:p>
      <w:pPr>
        <w:pStyle w:val="ListParagraph"/>
        <w:numPr>
          <w:ilvl w:val="0"/>
          <w:numId w:val="2"/>
        </w:numPr>
        <w:spacing w:after="60"/>
      </w:pPr>
      <w:r>
        <w:rPr>
          <w:rFonts w:ascii="Arial" w:cs="Arial" w:eastAsia="Arial" w:hAnsi="Arial"/>
          <w:sz w:val="20"/>
          <w:szCs w:val="20"/>
        </w:rPr>
        <w:t xml:space="preserve">F3 Erster dokumentierter Restore-Test mit gemessenen RTO/RPO.</w:t>
      </w:r>
    </w:p>
    <w:p>
      <w:pPr>
        <w:pStyle w:val="ListParagraph"/>
        <w:numPr>
          <w:ilvl w:val="0"/>
          <w:numId w:val="2"/>
        </w:numPr>
        <w:spacing w:after="60"/>
      </w:pPr>
      <w:r>
        <w:rPr>
          <w:rFonts w:ascii="Arial" w:cs="Arial" w:eastAsia="Arial" w:hAnsi="Arial"/>
          <w:sz w:val="20"/>
          <w:szCs w:val="20"/>
        </w:rPr>
        <w:t xml:space="preserve">C1 End-to-End-TLS bis in den Container oder dokumentierte Risikoakzeptanz durch den Auftraggeber.</w:t>
      </w:r>
    </w:p>
    <w:p>
      <w:pPr>
        <w:pStyle w:val="ListParagraph"/>
        <w:numPr>
          <w:ilvl w:val="0"/>
          <w:numId w:val="2"/>
        </w:numPr>
        <w:spacing w:after="60"/>
      </w:pPr>
      <w:r>
        <w:rPr>
          <w:rFonts w:ascii="Arial" w:cs="Arial" w:eastAsia="Arial" w:hAnsi="Arial"/>
          <w:sz w:val="20"/>
          <w:szCs w:val="20"/>
        </w:rPr>
        <w:t xml:space="preserve">E3 SIEM-Anbindung einrichten und mit Testereignissen abnehmen.</w:t>
      </w:r>
    </w:p>
    <w:p>
      <w:r>
        <w:br w:type="page"/>
      </w:r>
    </w:p>
    <w:p>
      <w:pPr>
        <w:pStyle w:val="Heading1"/>
        <w:spacing w:after="160" w:before="360"/>
      </w:pPr>
      <w:r>
        <w:rPr>
          <w:rFonts w:ascii="Arial" w:cs="Arial" w:eastAsia="Arial" w:hAnsi="Arial"/>
        </w:rPr>
        <w:t xml:space="preserve">Bestätigung</w:t>
      </w:r>
    </w:p>
    <w:p>
      <w:pPr>
        <w:spacing w:after="120"/>
      </w:pPr>
      <w:r>
        <w:rPr>
          <w:rFonts w:ascii="Arial" w:cs="Arial" w:eastAsia="Arial" w:hAnsi="Arial"/>
          <w:sz w:val="20"/>
          <w:szCs w:val="20"/>
        </w:rPr>
        <w:t xml:space="preserve">Der Betreiber bestätigt, dass die vorstehenden Angaben zum Zeitpunkt der Unterzeichnung zutreffen, und verpflichtet sich, wesentliche Änderungen unverzüglich in Textform mitzuteilen. Dieses Fact Sheet wird Bestandteil der Auftragsverarbeitungsvereinbarung (Anlage 2, TOMs).</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85"/>
        <w:gridCol w:w="7285"/>
      </w:tblGrid>
      <w:tr>
        <w:trPr>
          <w:cantSplit/>
        </w:trPr>
        <w:tc>
          <w:tcPr>
            <w:tcW w:type="dxa" w:w="7285"/>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b/>
                <w:bCs/>
                <w:sz w:val="18"/>
                <w:szCs w:val="18"/>
              </w:rPr>
              <w:t xml:space="preserve">Für den Betreiber (Auftragsverarbeiter)</w:t>
            </w:r>
          </w:p>
          <w:p>
            <w:pPr>
              <w:spacing w:after="60"/>
            </w:pPr>
            <w:r>
              <w:rPr>
                <w:rFonts w:ascii="Arial" w:cs="Arial" w:eastAsia="Arial" w:hAnsi="Arial"/>
                <w:sz w:val="18"/>
                <w:szCs w:val="18"/>
              </w:rPr>
              <w:t xml:space="preserve">[Firmierung, Anschrift]</w:t>
            </w:r>
          </w:p>
          <w:p>
            <w:pPr>
              <w:spacing w:after="60"/>
            </w:pPr>
          </w:p>
          <w:p>
            <w:pPr>
              <w:spacing w:after="60"/>
            </w:pPr>
            <w:r>
              <w:rPr>
                <w:rFonts w:ascii="Arial" w:cs="Arial" w:eastAsia="Arial" w:hAnsi="Arial"/>
                <w:sz w:val="18"/>
                <w:szCs w:val="18"/>
              </w:rPr>
              <w:t xml:space="preserve">Ort, Datum: ______________________________</w:t>
            </w:r>
          </w:p>
          <w:p>
            <w:pPr>
              <w:spacing w:after="60"/>
            </w:pPr>
          </w:p>
          <w:p>
            <w:pPr>
              <w:spacing w:after="60"/>
            </w:pPr>
            <w:r>
              <w:rPr>
                <w:rFonts w:ascii="Arial" w:cs="Arial" w:eastAsia="Arial" w:hAnsi="Arial"/>
                <w:sz w:val="18"/>
                <w:szCs w:val="18"/>
              </w:rPr>
              <w:t xml:space="preserve">Name, Funktion: ___________________________</w:t>
            </w:r>
          </w:p>
          <w:p>
            <w:pPr>
              <w:spacing w:after="60"/>
            </w:pPr>
          </w:p>
          <w:p>
            <w:pPr>
              <w:spacing w:after="60"/>
            </w:pPr>
            <w:r>
              <w:rPr>
                <w:rFonts w:ascii="Arial" w:cs="Arial" w:eastAsia="Arial" w:hAnsi="Arial"/>
                <w:sz w:val="18"/>
                <w:szCs w:val="18"/>
              </w:rPr>
              <w:t xml:space="preserve">Unterschrift: _____________________________</w:t>
            </w:r>
          </w:p>
        </w:tc>
        <w:tc>
          <w:tcPr>
            <w:tcW w:type="dxa" w:w="7285"/>
            <w:tcBorders>
              <w:top w:val="single" w:color="C8CCD4" w:sz="4"/>
              <w:left w:val="single" w:color="C8CCD4" w:sz="4"/>
              <w:bottom w:val="single" w:color="C8CCD4" w:sz="4"/>
              <w:right w:val="single" w:color="C8CCD4" w:sz="4"/>
            </w:tcBorders>
            <w:tcMar>
              <w:top w:type="dxa" w:w="80"/>
              <w:left w:type="dxa" w:w="110"/>
              <w:bottom w:type="dxa" w:w="80"/>
              <w:right w:type="dxa" w:w="110"/>
            </w:tcMar>
          </w:tcPr>
          <w:p>
            <w:pPr>
              <w:spacing w:after="60"/>
            </w:pPr>
            <w:r>
              <w:rPr>
                <w:rFonts w:ascii="Arial" w:cs="Arial" w:eastAsia="Arial" w:hAnsi="Arial"/>
                <w:b/>
                <w:bCs/>
                <w:sz w:val="18"/>
                <w:szCs w:val="18"/>
              </w:rPr>
              <w:t xml:space="preserve">Für den Auftraggeber (Verantwortlicher)</w:t>
            </w:r>
          </w:p>
          <w:p>
            <w:pPr>
              <w:spacing w:after="60"/>
            </w:pPr>
            <w:r>
              <w:rPr>
                <w:rFonts w:ascii="Arial" w:cs="Arial" w:eastAsia="Arial" w:hAnsi="Arial"/>
                <w:sz w:val="18"/>
                <w:szCs w:val="18"/>
              </w:rPr>
              <w:t xml:space="preserve">[Firmierung, Anschrift]</w:t>
            </w:r>
          </w:p>
          <w:p>
            <w:pPr>
              <w:spacing w:after="60"/>
            </w:pPr>
          </w:p>
          <w:p>
            <w:pPr>
              <w:spacing w:after="60"/>
            </w:pPr>
            <w:r>
              <w:rPr>
                <w:rFonts w:ascii="Arial" w:cs="Arial" w:eastAsia="Arial" w:hAnsi="Arial"/>
                <w:sz w:val="18"/>
                <w:szCs w:val="18"/>
              </w:rPr>
              <w:t xml:space="preserve">Ort, Datum: ______________________________</w:t>
            </w:r>
          </w:p>
          <w:p>
            <w:pPr>
              <w:spacing w:after="60"/>
            </w:pPr>
          </w:p>
          <w:p>
            <w:pPr>
              <w:spacing w:after="60"/>
            </w:pPr>
            <w:r>
              <w:rPr>
                <w:rFonts w:ascii="Arial" w:cs="Arial" w:eastAsia="Arial" w:hAnsi="Arial"/>
                <w:sz w:val="18"/>
                <w:szCs w:val="18"/>
              </w:rPr>
              <w:t xml:space="preserve">Name, Funktion: ___________________________</w:t>
            </w:r>
          </w:p>
          <w:p>
            <w:pPr>
              <w:spacing w:after="60"/>
            </w:pPr>
          </w:p>
          <w:p>
            <w:pPr>
              <w:spacing w:after="60"/>
            </w:pPr>
            <w:r>
              <w:rPr>
                <w:rFonts w:ascii="Arial" w:cs="Arial" w:eastAsia="Arial" w:hAnsi="Arial"/>
                <w:sz w:val="18"/>
                <w:szCs w:val="18"/>
              </w:rPr>
              <w:t xml:space="preserve">Unterschrift: _____________________________</w:t>
            </w:r>
          </w:p>
        </w:tc>
      </w:tr>
    </w:tbl>
    <w:sectPr>
      <w:headerReference w:type="default" r:id="rId7"/>
      <w:footerReference w:type="default" r:id="rId8"/>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F6368"/>
        <w:sz w:val="16"/>
        <w:szCs w:val="16"/>
      </w:rPr>
      <w:t xml:space="preserve">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F6368"/>
        <w:sz w:val="16"/>
        <w:szCs w:val="16"/>
      </w:rPr>
      <w:t xml:space="preserve">CalenSync Enterprise · Vertraulich – nur für den Auftraggeber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Arial" w:cs="Arial" w:eastAsia="Arial" w:hAnsi="Arial"/>
      <w:b/>
      <w:bCs/>
      <w:color w:val="1F1E4D"/>
      <w:sz w:val="40"/>
      <w:szCs w:val="40"/>
    </w:rPr>
  </w:style>
  <w:style w:type="paragraph" w:styleId="Heading1">
    <w:name w:val="Heading 1"/>
    <w:basedOn w:val="Normal"/>
    <w:next w:val="Normal"/>
    <w:qFormat/>
    <w:pPr>
      <w:spacing w:after="160" w:before="360"/>
      <w:outlineLvl w:val="0"/>
    </w:pPr>
    <w:rPr>
      <w:rFonts w:ascii="Arial" w:cs="Arial" w:eastAsia="Arial" w:hAnsi="Arial"/>
      <w:b/>
      <w:bCs/>
      <w:color w:val="3F3D9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CalenSync Enterprise – IT-Sicherheits- und Compliance-Fact-Sheet</dc:title>
  <dc:creator>CalenSync</dc:creator>
  <cp:lastModifiedBy>Un-named</cp:lastModifiedBy>
  <cp:revision>1</cp:revision>
  <dcterms:created xsi:type="dcterms:W3CDTF">2026-10-01T05:13:53.386Z</dcterms:created>
  <dcterms:modified xsi:type="dcterms:W3CDTF">2026-10-01T05:13:53.387Z</dcterms:modified>
</cp:coreProperties>
</file>

<file path=docProps/custom.xml><?xml version="1.0" encoding="utf-8"?>
<Properties xmlns="http://schemas.openxmlformats.org/officeDocument/2006/custom-properties" xmlns:vt="http://schemas.openxmlformats.org/officeDocument/2006/docPropsVTypes"/>
</file>