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3F3D9C"/>
          <w:sz w:val="22"/>
          <w:szCs w:val="22"/>
        </w:rPr>
        <w:t xml:space="preserve">CalenSync Enterprise</w:t>
      </w:r>
    </w:p>
    <w:p>
      <w:pPr>
        <w:pStyle w:val="Title"/>
        <w:spacing w:after="120"/>
      </w:pPr>
      <w:r>
        <w:rPr>
          <w:rFonts w:ascii="Arial" w:cs="Arial" w:eastAsia="Arial" w:hAnsi="Arial"/>
        </w:rPr>
        <w:t xml:space="preserve">IT-Sicherheits- und Compliance-Fact-Sheet</w:t>
      </w:r>
    </w:p>
    <w:p>
      <w:pPr>
        <w:spacing w:after="120"/>
      </w:pPr>
      <w:r>
        <w:rPr>
          <w:rFonts w:ascii="Arial" w:cs="Arial" w:eastAsia="Arial" w:hAnsi="Arial"/>
          <w:color w:val="5F6368"/>
          <w:sz w:val="20"/>
          <w:szCs w:val="20"/>
        </w:rPr>
        <w:t xml:space="preserve">Fragen- und Antwortkatalog zur Lieferantenbewertung · Single-Tenant-Betrieb für Unternehmen ab 1.000 Mitarbeitenden</w:t>
      </w:r>
    </w:p>
    <w:p>
      <w:pPr>
        <w:spacing w:after="120"/>
      </w:pPr>
      <w:r>
        <w:rPr>
          <w:rFonts w:ascii="Arial" w:cs="Arial" w:eastAsia="Arial" w:hAnsi="Arial"/>
          <w:color w:val="5F6368"/>
          <w:sz w:val="18"/>
          <w:szCs w:val="18"/>
        </w:rPr>
        <w:t xml:space="preserve">Version 1.3 · Stand 01.10.2026 · Gültig für den dedizierten Mandanten-Stack (Terraform-Konfiguration „calensync-enterprise“)</w:t>
      </w:r>
    </w:p>
    <w:p>
      <w:pPr>
        <w:pStyle w:val="Heading1"/>
        <w:spacing w:after="160" w:before="360"/>
      </w:pPr>
      <w:r>
        <w:rPr>
          <w:rFonts w:ascii="Arial" w:cs="Arial" w:eastAsia="Arial" w:hAnsi="Arial"/>
        </w:rPr>
        <w:t xml:space="preserve">Lesehilfe</w:t>
      </w:r>
    </w:p>
    <w:p>
      <w:pPr>
        <w:spacing w:after="120"/>
      </w:pPr>
      <w:r>
        <w:rPr>
          <w:rFonts w:ascii="Arial" w:cs="Arial" w:eastAsia="Arial" w:hAnsi="Arial"/>
          <w:sz w:val="20"/>
          <w:szCs w:val="20"/>
        </w:rPr>
        <w:t xml:space="preserve">Jede Antwort hat einen Status. Er unterscheidet, was technisch gebaut und prüfbar ist, von dem, was der Betreiber vertraglich oder organisatorisch zusagt, und von dem, was vor dem Rollout noch fehlt. Mit seiner Unterschrift bestätigt der Betreiber die Richtigkeit aller Antworten. Offene Punkte sind bewusst als offen ausgewiesen.</w:t>
      </w:r>
    </w:p>
    <w:p>
      <w:pPr>
        <w:pStyle w:val="ListParagraph"/>
        <w:numPr>
          <w:ilvl w:val="0"/>
          <w:numId w:val="2"/>
        </w:numPr>
        <w:spacing w:after="60"/>
      </w:pPr>
      <w:r>
        <w:rPr>
          <w:rFonts w:ascii="Arial" w:cs="Arial" w:eastAsia="Arial" w:hAnsi="Arial"/>
          <w:b/>
          <w:bCs/>
          <w:sz w:val="20"/>
          <w:szCs w:val="20"/>
        </w:rPr>
        <w:t xml:space="preserve">Umgesetzt:</w:t>
      </w:r>
      <w:r>
        <w:rPr>
          <w:rFonts w:ascii="Arial" w:cs="Arial" w:eastAsia="Arial" w:hAnsi="Arial"/>
          <w:sz w:val="20"/>
          <w:szCs w:val="20"/>
        </w:rPr>
        <w:t xml:space="preserve"> im Code bzw. in der Infrastruktur-Konfiguration vorhanden und durch die genannte Fundstelle oder einen automatisierten Test belegbar.</w:t>
      </w:r>
    </w:p>
    <w:p>
      <w:pPr>
        <w:pStyle w:val="ListParagraph"/>
        <w:numPr>
          <w:ilvl w:val="0"/>
          <w:numId w:val="2"/>
        </w:numPr>
        <w:spacing w:after="60"/>
      </w:pPr>
      <w:r>
        <w:rPr>
          <w:rFonts w:ascii="Arial" w:cs="Arial" w:eastAsia="Arial" w:hAnsi="Arial"/>
          <w:b/>
          <w:bCs/>
          <w:sz w:val="20"/>
          <w:szCs w:val="20"/>
        </w:rPr>
        <w:t xml:space="preserve">Zugesagt:</w:t>
      </w:r>
      <w:r>
        <w:rPr>
          <w:rFonts w:ascii="Arial" w:cs="Arial" w:eastAsia="Arial" w:hAnsi="Arial"/>
          <w:sz w:val="20"/>
          <w:szCs w:val="20"/>
        </w:rPr>
        <w:t xml:space="preserve"> vertragliche oder organisatorische Verpflichtung (AVV, Betriebshandbuch), Nachweis über Dokumente bzw. im Audit.</w:t>
      </w:r>
    </w:p>
    <w:p>
      <w:pPr>
        <w:pStyle w:val="ListParagraph"/>
        <w:numPr>
          <w:ilvl w:val="0"/>
          <w:numId w:val="2"/>
        </w:numPr>
        <w:spacing w:after="60"/>
      </w:pPr>
      <w:r>
        <w:rPr>
          <w:rFonts w:ascii="Arial" w:cs="Arial" w:eastAsia="Arial" w:hAnsi="Arial"/>
          <w:b/>
          <w:bCs/>
          <w:sz w:val="20"/>
          <w:szCs w:val="20"/>
        </w:rPr>
        <w:t xml:space="preserve">Offen:</w:t>
      </w:r>
      <w:r>
        <w:rPr>
          <w:rFonts w:ascii="Arial" w:cs="Arial" w:eastAsia="Arial" w:hAnsi="Arial"/>
          <w:sz w:val="20"/>
          <w:szCs w:val="20"/>
        </w:rPr>
        <w:t xml:space="preserve"> noch nicht erfüllt. Vor Produktivstart zu schließen oder vom Auftraggeber bewusst zu akzeptieren.</w:t>
      </w:r>
    </w:p>
    <w:p>
      <w:pPr>
        <w:pStyle w:val="Heading1"/>
        <w:spacing w:after="160" w:before="360"/>
      </w:pPr>
      <w:r>
        <w:rPr>
          <w:rFonts w:ascii="Arial" w:cs="Arial" w:eastAsia="Arial" w:hAnsi="Arial"/>
        </w:rPr>
        <w:t xml:space="preserve">A · Leistungsumfang und Datenkategorien</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2850"/>
        <w:gridCol w:w="7170"/>
        <w:gridCol w:w="1150"/>
        <w:gridCol w:w="2750"/>
      </w:tblGrid>
      <w:tr>
        <w:trPr>
          <w:tblHeader/>
        </w:trPr>
        <w:tc>
          <w:tcPr>
            <w:tcW w:type="dxa" w:w="6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Nr.</w:t>
            </w:r>
          </w:p>
        </w:tc>
        <w:tc>
          <w:tcPr>
            <w:tcW w:type="dxa" w:w="28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Frage des Auftraggebers</w:t>
            </w:r>
          </w:p>
        </w:tc>
        <w:tc>
          <w:tcPr>
            <w:tcW w:type="dxa" w:w="717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Antwort des Betreibers</w:t>
            </w:r>
          </w:p>
        </w:tc>
        <w:tc>
          <w:tcPr>
            <w:tcW w:type="dxa" w:w="11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Status</w:t>
            </w:r>
          </w:p>
        </w:tc>
        <w:tc>
          <w:tcPr>
            <w:tcW w:type="dxa" w:w="27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Nachweis / Fundstelle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A1</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Welche personenbezogenen Daten verarbeitet CalenSync?</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Persistent:</w:t>
            </w:r>
            <w:r>
              <w:rPr>
                <w:rFonts w:ascii="Arial" w:cs="Arial" w:eastAsia="Arial" w:hAnsi="Arial"/>
                <w:sz w:val="18"/>
                <w:szCs w:val="18"/>
              </w:rPr>
              <w:t xml:space="preserve"> Identitätsstammdaten aus der SCIM-Provisionierung (Anmeldename/UPN, Anzeigename, Vor-/Nachname, dienstliche E-Mail, Abteilung) sowie Kalender-Metadaten je synchronisiertem Termin (Event-IDs, Beginn, Ende, Versionskennung).</w:t>
            </w:r>
          </w:p>
          <w:p>
            <w:pPr>
              <w:spacing w:after="60"/>
            </w:pPr>
            <w:r>
              <w:rPr>
                <w:rFonts w:ascii="Arial" w:cs="Arial" w:eastAsia="Arial" w:hAnsi="Arial"/>
                <w:b/>
                <w:bCs/>
                <w:sz w:val="18"/>
                <w:szCs w:val="18"/>
              </w:rPr>
              <w:t xml:space="preserve">Nicht persistent: Termininhalte (Titel, Beschreibung, Ort, Teilnehmer). Sie werden nur flüchtig im Arbeitsspeicher verarbeitet, um Filter auszuwerten. Im Modus „Als beschäftigt markieren“ erreichen sie den Zielkalender nie. Hinweis: Der Kalenderabgleich selbst ist noch nicht fertiggestellt; diese Zusage gilt für die Auslieferung und wird vor Produktivstart durch Tests nachgewiesen.</w:t>
            </w:r>
            <w:r>
              <w:rPr>
                <w:rFonts w:ascii="Arial" w:cs="Arial" w:eastAsia="Arial" w:hAnsi="Arial"/>
                <w:sz w:val="18"/>
                <w:szCs w:val="18"/>
              </w:rPr>
            </w:r>
          </w:p>
          <w:p>
            <w:pPr>
              <w:spacing w:after="60"/>
            </w:pPr>
            <w:r>
              <w:rPr>
                <w:rFonts w:ascii="Arial" w:cs="Arial" w:eastAsia="Arial" w:hAnsi="Arial"/>
                <w:sz w:val="18"/>
                <w:szCs w:val="18"/>
              </w:rPr>
              <w:t xml:space="preserve">Telefonnummern, Adressen, Vorgesetzte und Fotos aus dem Verzeichnis werden bei der Provisionierung bewusst verworfen.</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Teilweise 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Umgesetzt für Identitätsdaten: SCIM-Attribut-Whitelist, Test „speichert nur minimale Attribute“ (scim/test/scim.test.ts). Offen für Termininhalte: Nachweis durch Tests „kein Termininhalt in Datenbank, Logs und Ziel-Payload“ nach Fertigstellung des Kalenderabgleichs.</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A2</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Können besondere Kategorien (Art. 9 DSGVO) betroffen sein?</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Ja, mittelbar: Kalendereinträge können Gesundheitsbezug haben (z. B. „Arzttermin“; bei Praxis- und Klinikkunden Patientennamen im Titel). CalenSync speichert diese Inhalte nicht, verarbeitet sie aber transient. Der Auftraggeber sollte das Risiko in seiner DSFA berücksichtigen.</w:t>
            </w:r>
          </w:p>
          <w:p>
            <w:pPr>
              <w:spacing w:after="60"/>
            </w:pPr>
            <w:r>
              <w:rPr>
                <w:rFonts w:ascii="Arial" w:cs="Arial" w:eastAsia="Arial" w:hAnsi="Arial"/>
                <w:sz w:val="18"/>
                <w:szCs w:val="18"/>
              </w:rPr>
              <w:t xml:space="preserve">Für Berufsgeheimnisträger (Ärzte, Kliniken) verpflichtet der Betreiber alle mitwirkenden Personen nach § 203 Abs. 4 StGB zur Verschwiegenheit.</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AVV Anlage „Vertraulichkeit/§ 203 StGB“; Verpflichtungserklärungen der Mitarbeitenden</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A3</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Gehört der KI-Telefonassistent zum Leistungsumfang?</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Nein. Dieses Fact Sheet umfasst ausschließlich die Kalendersynchronisation. Sprach- und KI-Funktionen haben eigene Unterauftragsverarbeiter und Datenflüsse. Sie werden bei Bedarf separat bewertet und sind im Enterprise-Stack deaktiviert.</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Leistungsbeschreibung, Anlage 1</w:t>
            </w:r>
          </w:p>
        </w:tc>
      </w:tr>
    </w:tbl>
    <w:p>
      <w:pPr>
        <w:pStyle w:val="Heading1"/>
        <w:spacing w:after="160" w:before="360"/>
      </w:pPr>
      <w:r>
        <w:rPr>
          <w:rFonts w:ascii="Arial" w:cs="Arial" w:eastAsia="Arial" w:hAnsi="Arial"/>
        </w:rPr>
        <w:t xml:space="preserve">B · Hosting, Datenresidenz und Mandantentrennung</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2850"/>
        <w:gridCol w:w="7170"/>
        <w:gridCol w:w="1150"/>
        <w:gridCol w:w="2750"/>
      </w:tblGrid>
      <w:tr>
        <w:trPr>
          <w:tblHeader/>
        </w:trPr>
        <w:tc>
          <w:tcPr>
            <w:tcW w:type="dxa" w:w="6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Nr.</w:t>
            </w:r>
          </w:p>
        </w:tc>
        <w:tc>
          <w:tcPr>
            <w:tcW w:type="dxa" w:w="28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Frage des Auftraggebers</w:t>
            </w:r>
          </w:p>
        </w:tc>
        <w:tc>
          <w:tcPr>
            <w:tcW w:type="dxa" w:w="717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Antwort des Betreibers</w:t>
            </w:r>
          </w:p>
        </w:tc>
        <w:tc>
          <w:tcPr>
            <w:tcW w:type="dxa" w:w="11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Status</w:t>
            </w:r>
          </w:p>
        </w:tc>
        <w:tc>
          <w:tcPr>
            <w:tcW w:type="dxa" w:w="27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Nachweis / Fundstelle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B1</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Wo werden die Daten physisch gespeichert und verarbeitet?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Ausschließlich in der AWS-Region </w:t>
            </w:r>
            <w:r>
              <w:rPr>
                <w:rFonts w:ascii="Arial" w:cs="Arial" w:eastAsia="Arial" w:hAnsi="Arial"/>
                <w:b/>
                <w:bCs/>
                <w:sz w:val="18"/>
                <w:szCs w:val="18"/>
              </w:rPr>
              <w:t xml:space="preserve">eu-central-1 (Frankfurt am Main)</w:t>
            </w:r>
            <w:r>
              <w:rPr>
                <w:rFonts w:ascii="Arial" w:cs="Arial" w:eastAsia="Arial" w:hAnsi="Arial"/>
                <w:sz w:val="18"/>
                <w:szCs w:val="18"/>
              </w:rPr>
              <w:t xml:space="preserve">, verteilt auf drei Availability Zones. Backups liegen in derselben Region. Eine Backup-Kopie in eine zweite EU-Region (z. B. Irland) erfolgt nur nach schriftlicher Zustimmung des Auftraggebers. Bei der Vorgabe „nur Deutschland“ ist sie abgeschaltet.</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Terraform: variables.tf (region, dr_copy_enabled = false), backup.tf</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B2</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Wie sind Mandanten voneinander getrennt?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Physisch-logisch getrennter Single-Tenant-Betrieb:</w:t>
            </w:r>
            <w:r>
              <w:rPr>
                <w:rFonts w:ascii="Arial" w:cs="Arial" w:eastAsia="Arial" w:hAnsi="Arial"/>
                <w:sz w:val="18"/>
                <w:szCs w:val="18"/>
              </w:rPr>
              <w:t xml:space="preserve"> eigener AWS-Account je Enterprise-Kunde in AWS Organizations, eigene VPC ohne Peering, eigene KMS-Schlüssel, eigener Aurora-PostgreSQL-Cluster und eigener ECS-Cluster. Es gibt keine geteilten Datenbanken, Connection-Pools oder Caches. Innerhalb des Stacks trägt jede Tabelle zusätzlich die Mandanten-ID, und jede Abfrage ist mandantengebunden (Defense in Depth).</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Terraform: versions.tf (allowed_account_ids), network.tf, database.tf; SCIM-Test „Mandant B sieht keine User von A“</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B3</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Netzwerkisolation der Datenbank?</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Aurora liegt in Subnetzen ohne Internet-Route und ist nur auf Port 5432 aus der Sicherheitsgruppe der Anwendung erreichbar. Kein öffentlicher Endpunkt. AWS-API-Verkehr läuft über VPC-Endpoints.</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network.tf (aws_route_table.data ohne Default-Route), database.tf (Security Group)</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B4</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Drittlandbezug / US CLOUD Act?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Vertragspartner für das Hosting ist Amazon Web Services EMEA SARL (Luxemburg). Die Daten verlassen die EU nicht. Restrisiko: AWS gehört zu einem US-Konzern (CLOUD Act). AWS ist unter dem EU-US Data Privacy Framework zertifiziert. Wer dieses Risiko ausschließen muss, kann den Stack in der </w:t>
            </w:r>
            <w:r>
              <w:rPr>
                <w:rFonts w:ascii="Arial" w:cs="Arial" w:eastAsia="Arial" w:hAnsi="Arial"/>
                <w:b/>
                <w:bCs/>
                <w:sz w:val="18"/>
                <w:szCs w:val="18"/>
              </w:rPr>
              <w:t xml:space="preserve">AWS European Sovereign Cloud</w:t>
            </w:r>
            <w:r>
              <w:rPr>
                <w:rFonts w:ascii="Arial" w:cs="Arial" w:eastAsia="Arial" w:hAnsi="Arial"/>
                <w:sz w:val="18"/>
                <w:szCs w:val="18"/>
              </w:rPr>
              <w:t xml:space="preserve"> (Region eusc-de-east-1, Brandenburg, seit 14.01.2026 verfügbar) betreiben. Die Terraform-Konfiguration ist dafür regionsparametrisiert, der Dienstumfang muss vorab abgeglichen werden.</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AWS DPA; Subprozessorenliste (Anlage 3)</w:t>
            </w:r>
          </w:p>
        </w:tc>
      </w:tr>
    </w:tbl>
    <w:p>
      <w:pPr>
        <w:pStyle w:val="Heading1"/>
        <w:spacing w:after="160" w:before="360"/>
      </w:pPr>
      <w:r>
        <w:rPr>
          <w:rFonts w:ascii="Arial" w:cs="Arial" w:eastAsia="Arial" w:hAnsi="Arial"/>
        </w:rPr>
        <w:t xml:space="preserve">C · Verschlüsselung und Schlüsselverwaltung</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2850"/>
        <w:gridCol w:w="7170"/>
        <w:gridCol w:w="1150"/>
        <w:gridCol w:w="2750"/>
      </w:tblGrid>
      <w:tr>
        <w:trPr>
          <w:tblHeader/>
        </w:trPr>
        <w:tc>
          <w:tcPr>
            <w:tcW w:type="dxa" w:w="6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Nr.</w:t>
            </w:r>
          </w:p>
        </w:tc>
        <w:tc>
          <w:tcPr>
            <w:tcW w:type="dxa" w:w="28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Frage des Auftraggebers</w:t>
            </w:r>
          </w:p>
        </w:tc>
        <w:tc>
          <w:tcPr>
            <w:tcW w:type="dxa" w:w="717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Antwort des Betreibers</w:t>
            </w:r>
          </w:p>
        </w:tc>
        <w:tc>
          <w:tcPr>
            <w:tcW w:type="dxa" w:w="11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Status</w:t>
            </w:r>
          </w:p>
        </w:tc>
        <w:tc>
          <w:tcPr>
            <w:tcW w:type="dxa" w:w="27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Nachweis / Fundstelle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C1</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Verschlüsselung bei der Übertragung (in transit)?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Extern: TLS 1.3/1.2 am Load Balancer (Policy ELBSecurityPolicy-TLS13-1-2-2021-06), HTTP wird auf HTTPS umgeleitet. Datenbank: TLS erzwungen (rds.force_ssl = 1, mind. TLS 1.2, Client mit verify-full). Provider-APIs (Microsoft Graph, Google): ausschließlich HTTPS.</w:t>
            </w:r>
          </w:p>
          <w:p>
            <w:pPr>
              <w:spacing w:after="60"/>
            </w:pPr>
            <w:r>
              <w:rPr>
                <w:rFonts w:ascii="Arial" w:cs="Arial" w:eastAsia="Arial" w:hAnsi="Arial"/>
                <w:b/>
                <w:bCs/>
                <w:sz w:val="18"/>
                <w:szCs w:val="18"/>
              </w:rPr>
              <w:t xml:space="preserve">Einschränkung:</w:t>
            </w:r>
            <w:r>
              <w:rPr>
                <w:rFonts w:ascii="Arial" w:cs="Arial" w:eastAsia="Arial" w:hAnsi="Arial"/>
                <w:sz w:val="18"/>
                <w:szCs w:val="18"/>
              </w:rPr>
              <w:t xml:space="preserve"> Zwischen Load Balancer und Container läuft der Verkehr derzeit unverschlüsselt innerhalb privater, isolierter Subnetze. End-to-End-TLS bis in den Container ist als Ausbaustufe vorgesehen.</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edge.tf (ssl_policy), database.tf (Parametergruppe), ecs.tf (DB_SSLMODE)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C2</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Verschlüsselung gespeicherter Daten (at rest)?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AES-256 über kundeneigene KMS-Schlüssel (Customer Managed Keys) je Mandant: Aurora-Speicher, Snapshots, Performance-Insights, Secrets, AWS-Backup-Tresor, CloudWatch-Logs, CloudTrail. OAuth-Refresh-Tokens (nur bei delegiertem OAuth) zusätzlich anwendungsseitig per Envelope-Verschlüsselung mit separatem Schlüssel (Rotation 90 Tage). ALB-Zugriffslogs: SSE-S3 (AES-256, AWS-verwalteter Schlüssel), da der Dienst nichts anderes unterstützt.</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kms.tf, database.tf (storage_encrypted, kms_key_id), audit.tf, edge.tf</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C3</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Schlüsselverwaltung und -rotation?</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Schlüssel in AWS KMS (HSM-gestützt, FIPS-140-validiert). Automatische Rotation: Daten- und Log-Schlüssel jährlich, Token-Schlüssel alle 90 Tage. Lösch-Wartezeit 30 Tage. Getrennte Schlüssel je Zweck (Daten, Logs, Tokens, Signatur). Eigene Schlüssel des Kunden (External Key Store/BYOK) sind auf Anfrage möglich.</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kms.tf (enable_key_rotation, rotation_period_in_days)</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C4</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Wie authentifiziert sich CalenSync gegenüber Microsoft Entra ID?</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Mit Zertifikat statt Client-Secret. Der private Schlüssel ist ein asymmetrischer KMS-Schlüssel und verlässt AWS nie. Signiert wird per kms:Sign. Das Backend speichert kein Geheimnis, das abfließen könnte.</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kms.tf (aws_kms_key.signing), ecs.tf (Task-Rolle: kms:Sign)</w:t>
            </w:r>
          </w:p>
        </w:tc>
      </w:tr>
    </w:tbl>
    <w:p>
      <w:pPr>
        <w:pStyle w:val="Heading1"/>
        <w:spacing w:after="160" w:before="360"/>
      </w:pPr>
      <w:r>
        <w:rPr>
          <w:rFonts w:ascii="Arial" w:cs="Arial" w:eastAsia="Arial" w:hAnsi="Arial"/>
        </w:rPr>
        <w:t xml:space="preserve">D · Identitäten, Zugriff und Governance</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2850"/>
        <w:gridCol w:w="7170"/>
        <w:gridCol w:w="1150"/>
        <w:gridCol w:w="2750"/>
      </w:tblGrid>
      <w:tr>
        <w:trPr>
          <w:tblHeader/>
        </w:trPr>
        <w:tc>
          <w:tcPr>
            <w:tcW w:type="dxa" w:w="6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Nr.</w:t>
            </w:r>
          </w:p>
        </w:tc>
        <w:tc>
          <w:tcPr>
            <w:tcW w:type="dxa" w:w="28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Frage des Auftraggebers</w:t>
            </w:r>
          </w:p>
        </w:tc>
        <w:tc>
          <w:tcPr>
            <w:tcW w:type="dxa" w:w="717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Antwort des Betreibers</w:t>
            </w:r>
          </w:p>
        </w:tc>
        <w:tc>
          <w:tcPr>
            <w:tcW w:type="dxa" w:w="11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Status</w:t>
            </w:r>
          </w:p>
        </w:tc>
        <w:tc>
          <w:tcPr>
            <w:tcW w:type="dxa" w:w="27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Nachweis / Fundstelle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D1</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Single Sign-on und MFA?</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Anmeldung am Dashboard über SAML 2.0 oder OpenID Connect gegen Entra ID bzw. Okta des Auftraggebers. MFA, Gerätestatus und Standort steuert der Auftraggeber über eigene Conditional-Access-Richtlinien. CalenSync führt keine eigenen Passwörter für Enterprise-Nutzer.</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Integrationshandbuch SSO (vor Rollout abzunehmen)</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D2</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Automatische Provisionierung und Offboarding?</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SCIM 2.0 (/Users: POST, GET, PUT, PATCH, DELETE). Deaktiviert der Auftraggeber einen Account in Entra ID, sendet Entra PATCH active=false. CalenSync kappt im selben Request in einer Transaktion alle Sync-Pipelines des Nutzers, vernichtet etwaige Provider-Tokens und beauftragt das Beenden der Webhook-Abos. Bei einer Löschung (DELETE) werden Name, E-Mail-Adresse und externe Kennungen in derselben Transaktion entfernt. Erst danach antwortet CalenSync. Ein Hintergrundprozess beendet die Abos bei Microsoft bzw. Google und wiederholt das bei Störungen automatisch; erst danach wird der verbleibende, nicht mehr personenbeziehbare Datensatz endgültig gelöscht (spätestens nach 8 Tagen). Bis dahin verwirft CalenSync jede eingehende Benachrichtigung zu diesem Nutzer ungelesen. Der Vorgang ist idempotent, ein Retry heilt Teilabbrüche. Eine Reaktivierung gibt Pipelines nicht automatisch frei.</w:t>
            </w:r>
          </w:p>
          <w:p>
            <w:pPr>
              <w:spacing w:after="60"/>
            </w:pPr>
            <w:r>
              <w:rPr>
                <w:rFonts w:ascii="Arial" w:cs="Arial" w:eastAsia="Arial" w:hAnsi="Arial"/>
                <w:b/>
                <w:bCs/>
                <w:sz w:val="18"/>
                <w:szCs w:val="18"/>
              </w:rPr>
              <w:t xml:space="preserve">Latenz:</w:t>
            </w:r>
            <w:r>
              <w:rPr>
                <w:rFonts w:ascii="Arial" w:cs="Arial" w:eastAsia="Arial" w:hAnsi="Arial"/>
                <w:sz w:val="18"/>
                <w:szCs w:val="18"/>
              </w:rPr>
              <w:t xml:space="preserve"> Entra überträgt Änderungen im Provisionierungszyklus (inkrementell typischerweise bis ca. 40 Minuten). Für sofortige Wirkung gehört „Bei Bedarf bereitstellen“ ins Offboarding-Runbook des Auftraggebers.</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scim/src/scimUsers.ts, scim/test/scim.test.ts (16 Tests, u. a. Entra- und Okta-Varianten, Idempotenz, DELETE)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D3</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Wie wird verhindert, dass einzelne Mitarbeitende OAuth-Zugriffe freigeben (Schatten-IT)?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Benutzer-Einwilligung wird mandantenweit deaktiviert. Die IT erteilt einen einmaligen Admin-Consent. Die Kalenderberechtigung wird über Exchange Online „RBAC for Applications“ auf eine mailaktivierte Sicherheitsgruppe begrenzt, mit zusätzlichem Ausschluss nach Abteilung (z. B. Vorstand, Personal). Postfächer außerhalb sind für die App technisch nicht erreichbar (Graph antwortet mit 403).</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powershell/Set-CalenSyncMailboxScope.ps1 inkl. JSON-Nachweis; ANLEITUNG-Admin-Consent.md</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D4</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Gilt die gleiche technische Begrenzung für Google Workspace?</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Nein. Google bietet keine plattformseitige Begrenzung domänenweiter Delegation auf eine Nutzergruppe. CalenSync begrenzt den Zugriff dort softwareseitig (nur SCIM-provisionierte, aktive Mitglieder der Freigabegruppe; minimaler Scope calendar.events; schlüssellose Workload Identity Federation). Alternativ: OAuth-App nur für eine Organisationseinheit als vertrauenswürdig freigeben.</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ANLEITUNG-Admin-Consent.md, Abschnitt Google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D5</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Zugriff von Betreiber-Personal auf Produktionsdaten?</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Kein ständiger Zugriff. Interaktiver Container-Zugriff (ECS Exec) ist deaktiviert. Im Notfall (Break-Glass) erfolgt er nur nach Vier-Augen-Freigabe, zeitlich begrenzt und vollständig protokolliert. Die Anwendung meldet sich ausschließlich per kurzlebigem IAM-Token an der Datenbank an (15 Minuten gültig, kein Anwendungspasswort). Das für Notfälle nötige Master-Passwort erzeugt und rotiert RDS selbst in Secrets Manager; es erscheint weder im Code noch in der Terraform-Konfiguration oder deren Zustandsdatei.</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ecs.tf (enable_execute_command = false, Exec-Audit-Log), Betriebshandbuch Break-Glass</w:t>
            </w:r>
          </w:p>
        </w:tc>
      </w:tr>
    </w:tbl>
    <w:p>
      <w:pPr>
        <w:pStyle w:val="Heading1"/>
        <w:spacing w:after="160" w:before="360"/>
      </w:pPr>
      <w:r>
        <w:rPr>
          <w:rFonts w:ascii="Arial" w:cs="Arial" w:eastAsia="Arial" w:hAnsi="Arial"/>
        </w:rPr>
        <w:t xml:space="preserve">E · Protokollierung, Audit und SIEM</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2850"/>
        <w:gridCol w:w="7170"/>
        <w:gridCol w:w="1150"/>
        <w:gridCol w:w="2750"/>
      </w:tblGrid>
      <w:tr>
        <w:trPr>
          <w:tblHeader/>
        </w:trPr>
        <w:tc>
          <w:tcPr>
            <w:tcW w:type="dxa" w:w="6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Nr.</w:t>
            </w:r>
          </w:p>
        </w:tc>
        <w:tc>
          <w:tcPr>
            <w:tcW w:type="dxa" w:w="28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Frage des Auftraggebers</w:t>
            </w:r>
          </w:p>
        </w:tc>
        <w:tc>
          <w:tcPr>
            <w:tcW w:type="dxa" w:w="717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Antwort des Betreibers</w:t>
            </w:r>
          </w:p>
        </w:tc>
        <w:tc>
          <w:tcPr>
            <w:tcW w:type="dxa" w:w="11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Status</w:t>
            </w:r>
          </w:p>
        </w:tc>
        <w:tc>
          <w:tcPr>
            <w:tcW w:type="dxa" w:w="27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Nachweis / Fundstelle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E1</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Was wird protokolliert?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AWS CloudTrail (alle API-Aufrufe, alle Regionen, Integritätsprüfung), VPC Flow Logs, WAF-Logs (Authorization- und Cookie-Header geschwärzt), ALB-Zugriffslogs, Datenbank-Audit (pgaudit: DDL- und Rechteänderungen, keine Datenwerte), Anwendungs-Audit (jede SCIM-Operation, jede Sync-Kappung, abgelehnte Anfragen mit Request-ID).</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audit.tf, network.tf, edge.tf, database.tf; scim/src/scimUsers.ts (audit())</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E2</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Sind Audit-Daten manipulationssicher?</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CloudTrail-Logs liegen in S3 mit Object Lock im COMPLIANCE-Modus (400 Tage, auch vom Root-Account nicht löschbar) plus signierten Digest-Dateien. Das Anwendungs-Audit ist eine Hash-Kette je Mandant: Jede nachträgliche Änderung oder Löschung bricht die Kette und ist beim Export nachweisbar. Die Datenbankrolle der Anwendung hat kein UPDATE/DELETE auf die Audit-Tabelle.</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audit.tf (Object Lock), scim/src/prismaStore.ts, Test „Audit-Hash-Kette erkennt Manipulation“</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E3</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Anbindung an das SIEM des Auftraggebers (Splunk/Sentinel)?</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Export nahezu in Echtzeit: CloudWatch-Logs-Subscription → Amazon Data Firehose → Splunk HTTP Event Collector (oder Microsoft Sentinel über den AWS-Connector). Format JSON, eigener Index je Mandant, HEC-Token in Secrets Manager.</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Einrichtung im Onboarding; Terraform-Modul folgt</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E4</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Aufbewahrungsfristen der Logs?</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Betriebs- und Sicherheitslogs 365 Tage, CloudTrail-Archiv 400 Tage (WORM). Beides ist je Mandant konfigurierbar. Danach erfolgt die automatische Löschung.</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variables.tf (log_retention_days, audit_object_lock_days)</w:t>
            </w:r>
          </w:p>
        </w:tc>
      </w:tr>
    </w:tbl>
    <w:p>
      <w:pPr>
        <w:pStyle w:val="Heading1"/>
        <w:spacing w:after="160" w:before="360"/>
      </w:pPr>
      <w:r>
        <w:rPr>
          <w:rFonts w:ascii="Arial" w:cs="Arial" w:eastAsia="Arial" w:hAnsi="Arial"/>
        </w:rPr>
        <w:t xml:space="preserve">F · Verfügbarkeit, Backup und Disaster Recovery</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2850"/>
        <w:gridCol w:w="7170"/>
        <w:gridCol w:w="1150"/>
        <w:gridCol w:w="2750"/>
      </w:tblGrid>
      <w:tr>
        <w:trPr>
          <w:tblHeader/>
        </w:trPr>
        <w:tc>
          <w:tcPr>
            <w:tcW w:type="dxa" w:w="6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Nr.</w:t>
            </w:r>
          </w:p>
        </w:tc>
        <w:tc>
          <w:tcPr>
            <w:tcW w:type="dxa" w:w="28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Frage des Auftraggebers</w:t>
            </w:r>
          </w:p>
        </w:tc>
        <w:tc>
          <w:tcPr>
            <w:tcW w:type="dxa" w:w="717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Antwort des Betreibers</w:t>
            </w:r>
          </w:p>
        </w:tc>
        <w:tc>
          <w:tcPr>
            <w:tcW w:type="dxa" w:w="11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Status</w:t>
            </w:r>
          </w:p>
        </w:tc>
        <w:tc>
          <w:tcPr>
            <w:tcW w:type="dxa" w:w="27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Nachweis / Fundstelle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F1</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Wie hoch sind RTO und RPO?</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Siehe Tabelle „Wiederherstellungsziele“ unten. Grundsatz: Die führende Datenquelle sind die Kalender in Microsoft 365 bzw. Google Workspace. CalenSync hält nur Zuordnungen und Metadaten, die sich nach einem Restore durch einen vollständigen Resync rekonstruieren lassen.</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backup.tf, database.tf; Restore-Test-Protokolle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F2</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Wie sind Backups gegen Ransomware und kompromittierte Administratoren geschützt?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Zusätzlich zur Point-in-Time-Recovery (35 Tage) gibt es tägliche Snapshots in einem AWS-Backup-Tresor mit Vault Lock. Nach der Sperrfrist kann niemand diese Backups vor Ablauf der Mindestaufbewahrung löschen, auch nicht der Betreiber.</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backup.tf (aws_backup_vault_lock_configuration)</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F3</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Werden Wiederherstellungen getestet?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Quartalsweise Restore in eine isolierte Umgebung mit Messung der tatsächlichen RTO/RPO. Das Protokoll erhält der Auftraggeber auf Anfrage.</w:t>
            </w:r>
          </w:p>
        </w:tc>
        <w:tc>
          <w:tcPr>
            <w:tcW w:type="dxa" w:w="1150"/>
            <w:tcBorders>
              <w:top w:val="single" w:color="C8CCD4" w:sz="4"/>
              <w:left w:val="single" w:color="C8CCD4" w:sz="4"/>
              <w:bottom w:val="single" w:color="C8CCD4" w:sz="4"/>
              <w:right w:val="single" w:color="C8CCD4" w:sz="4"/>
            </w:tcBorders>
            <w:shd w:fill="F8D7DA" w:color="auto" w:val="clear"/>
            <w:tcMar>
              <w:top w:type="dxa" w:w="80"/>
              <w:left w:type="dxa" w:w="110"/>
              <w:bottom w:type="dxa" w:w="80"/>
              <w:right w:type="dxa" w:w="110"/>
            </w:tcMar>
          </w:tcPr>
          <w:p>
            <w:pPr>
              <w:spacing w:after="60"/>
            </w:pPr>
            <w:r>
              <w:rPr>
                <w:rFonts w:ascii="Arial" w:cs="Arial" w:eastAsia="Arial" w:hAnsi="Arial"/>
                <w:b/>
                <w:bCs/>
                <w:sz w:val="18"/>
                <w:szCs w:val="18"/>
              </w:rPr>
              <w:t xml:space="preserve">Offen</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Erster Restore-Test vor Produktivstart</w:t>
            </w:r>
          </w:p>
        </w:tc>
      </w:tr>
    </w:tbl>
    <w:p>
      <w:pPr>
        <w:spacing w:after="120" w:before="240"/>
      </w:pPr>
      <w:r>
        <w:rPr>
          <w:rFonts w:ascii="Arial" w:cs="Arial" w:eastAsia="Arial" w:hAnsi="Arial"/>
          <w:b/>
          <w:bCs/>
          <w:sz w:val="20"/>
          <w:szCs w:val="20"/>
        </w:rPr>
        <w:t xml:space="preserve">Wiederherstellungsziele (Zielwerte, durch Restore-Tests zu bestätigen)</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2200"/>
        <w:gridCol w:w="2200"/>
        <w:gridCol w:w="6870"/>
      </w:tblGrid>
      <w:tr>
        <w:trPr>
          <w:tblHeader/>
        </w:trPr>
        <w:tc>
          <w:tcPr>
            <w:tcW w:type="dxa" w:w="330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Szenario</w:t>
            </w:r>
          </w:p>
        </w:tc>
        <w:tc>
          <w:tcPr>
            <w:tcW w:type="dxa" w:w="220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RPO (max. Datenverlust)</w:t>
            </w:r>
          </w:p>
        </w:tc>
        <w:tc>
          <w:tcPr>
            <w:tcW w:type="dxa" w:w="220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RTO (max. Ausfallzeit)</w:t>
            </w:r>
          </w:p>
        </w:tc>
        <w:tc>
          <w:tcPr>
            <w:tcW w:type="dxa" w:w="687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Mechanismus</w:t>
            </w:r>
          </w:p>
        </w:tc>
      </w:tr>
      <w:tr>
        <w:trPr>
          <w:tblHeader w:val="false"/>
        </w:trPr>
        <w:tc>
          <w:tcPr>
            <w:tcW w:type="dxa" w:w="33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Ausfall einer Availability Zone</w:t>
            </w:r>
          </w:p>
        </w:tc>
        <w:tc>
          <w:tcPr>
            <w:tcW w:type="dxa" w:w="22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 0</w:t>
            </w:r>
          </w:p>
        </w:tc>
        <w:tc>
          <w:tcPr>
            <w:tcW w:type="dxa" w:w="22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 5 Minuten</w:t>
            </w:r>
          </w:p>
        </w:tc>
        <w:tc>
          <w:tcPr>
            <w:tcW w:type="dxa" w:w="68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Aurora speichert 6 Kopien über 3 AZs, automatisches Failover auf den Reader; Fargate-Tasks laufen in mehreren AZs</w:t>
            </w:r>
          </w:p>
        </w:tc>
      </w:tr>
      <w:tr>
        <w:trPr>
          <w:tblHeader w:val="false"/>
        </w:trPr>
        <w:tc>
          <w:tcPr>
            <w:tcW w:type="dxa" w:w="33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Logischer Fehler, versehentliches Löschen</w:t>
            </w:r>
          </w:p>
        </w:tc>
        <w:tc>
          <w:tcPr>
            <w:tcW w:type="dxa" w:w="22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 5 Minuten</w:t>
            </w:r>
          </w:p>
        </w:tc>
        <w:tc>
          <w:tcPr>
            <w:tcW w:type="dxa" w:w="22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 4 Stunden</w:t>
            </w:r>
          </w:p>
        </w:tc>
        <w:tc>
          <w:tcPr>
            <w:tcW w:type="dxa" w:w="68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Point-in-Time-Recovery (35 Tage) in neuen Cluster, Umschalten</w:t>
            </w:r>
          </w:p>
        </w:tc>
      </w:tr>
      <w:tr>
        <w:trPr>
          <w:tblHeader w:val="false"/>
        </w:trPr>
        <w:tc>
          <w:tcPr>
            <w:tcW w:type="dxa" w:w="33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Ransomware / kompromittierter Admin</w:t>
            </w:r>
          </w:p>
        </w:tc>
        <w:tc>
          <w:tcPr>
            <w:tcW w:type="dxa" w:w="22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 24 Stunden</w:t>
            </w:r>
          </w:p>
        </w:tc>
        <w:tc>
          <w:tcPr>
            <w:tcW w:type="dxa" w:w="22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 8 Stunden</w:t>
            </w:r>
          </w:p>
        </w:tc>
        <w:tc>
          <w:tcPr>
            <w:tcW w:type="dxa" w:w="68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Restore aus gesperrtem Backup-Tresor (Vault Lock), Neuaufbau per Terraform</w:t>
            </w:r>
          </w:p>
        </w:tc>
      </w:tr>
      <w:tr>
        <w:trPr>
          <w:tblHeader w:val="false"/>
        </w:trPr>
        <w:tc>
          <w:tcPr>
            <w:tcW w:type="dxa" w:w="33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Ausfall der Region Frankfurt (mit DR-Kopie)</w:t>
            </w:r>
          </w:p>
        </w:tc>
        <w:tc>
          <w:tcPr>
            <w:tcW w:type="dxa" w:w="22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 24 Stunden</w:t>
            </w:r>
          </w:p>
        </w:tc>
        <w:tc>
          <w:tcPr>
            <w:tcW w:type="dxa" w:w="22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 24 Stunden</w:t>
            </w:r>
          </w:p>
        </w:tc>
        <w:tc>
          <w:tcPr>
            <w:tcW w:type="dxa" w:w="68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Restore der Backup-Kopie in EU-Region, Stack per Terraform, vollständiger Resync</w:t>
            </w:r>
          </w:p>
        </w:tc>
      </w:tr>
      <w:tr>
        <w:trPr>
          <w:tblHeader w:val="false"/>
        </w:trPr>
        <w:tc>
          <w:tcPr>
            <w:tcW w:type="dxa" w:w="33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Ausfall der Region Frankfurt (Vorgabe „nur Deutschland“)</w:t>
            </w:r>
          </w:p>
        </w:tc>
        <w:tc>
          <w:tcPr>
            <w:tcW w:type="dxa" w:w="22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abhängig von AWS</w:t>
            </w:r>
          </w:p>
        </w:tc>
        <w:tc>
          <w:tcPr>
            <w:tcW w:type="dxa" w:w="22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abhängig von AWS</w:t>
            </w:r>
          </w:p>
        </w:tc>
        <w:tc>
          <w:tcPr>
            <w:tcW w:type="dxa" w:w="68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Keine Kopie außerhalb Deutschlands; Wiederanlauf nach Wiederherstellung der Region</w:t>
            </w:r>
          </w:p>
        </w:tc>
      </w:tr>
    </w:tbl>
    <w:p>
      <w:pPr>
        <w:pStyle w:val="Heading1"/>
        <w:spacing w:after="160" w:before="360"/>
      </w:pPr>
      <w:r>
        <w:rPr>
          <w:rFonts w:ascii="Arial" w:cs="Arial" w:eastAsia="Arial" w:hAnsi="Arial"/>
        </w:rPr>
        <w:t xml:space="preserve">G · Auftragsverarbeitung nach Art. 28 Abs. 3 DSGVO (Mindestinhalte)</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2850"/>
        <w:gridCol w:w="7170"/>
        <w:gridCol w:w="1150"/>
        <w:gridCol w:w="2750"/>
      </w:tblGrid>
      <w:tr>
        <w:trPr>
          <w:tblHeader/>
        </w:trPr>
        <w:tc>
          <w:tcPr>
            <w:tcW w:type="dxa" w:w="6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Nr.</w:t>
            </w:r>
          </w:p>
        </w:tc>
        <w:tc>
          <w:tcPr>
            <w:tcW w:type="dxa" w:w="28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Frage des Auftraggebers</w:t>
            </w:r>
          </w:p>
        </w:tc>
        <w:tc>
          <w:tcPr>
            <w:tcW w:type="dxa" w:w="717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Antwort des Betreibers</w:t>
            </w:r>
          </w:p>
        </w:tc>
        <w:tc>
          <w:tcPr>
            <w:tcW w:type="dxa" w:w="11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Status</w:t>
            </w:r>
          </w:p>
        </w:tc>
        <w:tc>
          <w:tcPr>
            <w:tcW w:type="dxa" w:w="27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Nachweis / Fundstelle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G1</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lit. a – Verarbeitung nur auf dokumentierte Weisung</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Verarbeitung ausschließlich zur vereinbarten Kalendersynchronisation. Weisungen erfolgen in Textform. Keine Übermittlung in Drittländer ohne Weisung. Der Betreiber informiert unverzüglich, wenn er eine Weisung für rechtswidrig hält.</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AVV § 3</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G2</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lit. b – Vertraulichkeit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Alle Personen mit Zugriffsmöglichkeit sind schriftlich zur Vertraulichkeit verpflichtet (bei Gesundheitskunden zusätzlich nach § 203 StGB).</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AVV § 4, Verpflichtungserklärungen</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G3</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lit. c – Technische und organisatorische Maßnahmen (Art. 32)</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TOMs gemäß diesem Fact Sheet (Abschnitte B–F), als Anlage 2 der AVV verbindlich.</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AVV Anlage 2 (TOMs)</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G4</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lit. d – Unterauftragsverarbeiter</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Abschließende Liste in Anlage 3 (Hosting: Amazon Web Services EMEA SARL, Region Frankfurt). Neue oder geänderte Unterauftragsverarbeiter werden mindestens 30 Tage vorher angekündigt. Der Auftraggeber hat ein Widerspruchsrecht. Gleichwertige Pflichten werden weitergegeben.</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AVV § 6, Anlage 3</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G5</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lit. e – Unterstützung bei Betroffenenrechten</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Auskunft, Berichtigung und Löschung je Person über SCIM bzw. Admin-Export. Anfragen, die beim Betreiber eingehen, werden unverzüglich an den Auftraggeber weitergeleitet.</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AVV § 7</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G6</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lit. f – Unterstützung bei Art. 32–36 (Sicherheit, Meldung, DSFA)</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Meldung von Datenschutzverletzungen an den Auftraggeber unverzüglich, spätestens </w:t>
            </w:r>
            <w:r>
              <w:rPr>
                <w:rFonts w:ascii="Arial" w:cs="Arial" w:eastAsia="Arial" w:hAnsi="Arial"/>
                <w:b/>
                <w:bCs/>
                <w:sz w:val="18"/>
                <w:szCs w:val="18"/>
              </w:rPr>
              <w:t xml:space="preserve">24 Stunden</w:t>
            </w:r>
            <w:r>
              <w:rPr>
                <w:rFonts w:ascii="Arial" w:cs="Arial" w:eastAsia="Arial" w:hAnsi="Arial"/>
                <w:sz w:val="18"/>
                <w:szCs w:val="18"/>
              </w:rPr>
              <w:t xml:space="preserve"> nach Kenntnis, mit den Angaben nach Art. 33 Abs. 3. So bleibt dem Auftraggeber Zeit für die 72-Stunden-Frist. Zuarbeit zur DSFA mit Datenflussdiagramm und Risikoanalyse.</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AVV § 8, Incident-Response-Plan</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G7</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lit. g – Löschung oder Rückgabe nach Vertragsende</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Wahlweise Export (JSON) und anschließende Löschung. Technisch: Abbau des Mandanten-Stacks und Löschung des dedizierten AWS-Accounts. Die KMS-Schlüssel werden zur Löschung vorgemerkt (30 Tage), danach sind alle verbliebenen Kopien inklusive Backups kryptografisch unlesbar. Der Auftraggeber erhält ein Löschprotokoll. Gesperrte Backups erlöschen spätestens mit Ablauf ihrer Mindestaufbewahrung.</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AVV § 10, Löschprotokoll-Vorlage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G8</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lit. h – Nachweise, Audits, Inspektionen</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Bereitstellung dieses Fact Sheets, der Terraform-Konfiguration, von Restore- und Pentest-Berichten. Vor-Ort- oder Remote-Audits durch den Auftraggeber oder einen Prüfer mit 30 Tagen Vorlauf. AWS-Infrastrukturnachweise (ISO 27001/27017/27018, SOC 2, BSI C5) über AWS Artifact.</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AVV § 9</w:t>
            </w:r>
          </w:p>
        </w:tc>
      </w:tr>
    </w:tbl>
    <w:p>
      <w:pPr>
        <w:pStyle w:val="Heading1"/>
        <w:spacing w:after="160" w:before="360"/>
      </w:pPr>
      <w:r>
        <w:rPr>
          <w:rFonts w:ascii="Arial" w:cs="Arial" w:eastAsia="Arial" w:hAnsi="Arial"/>
        </w:rPr>
        <w:t xml:space="preserve">H · Zertifizierungen, Prüfungen und Regulierung</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2850"/>
        <w:gridCol w:w="7170"/>
        <w:gridCol w:w="1150"/>
        <w:gridCol w:w="2750"/>
      </w:tblGrid>
      <w:tr>
        <w:trPr>
          <w:tblHeader/>
        </w:trPr>
        <w:tc>
          <w:tcPr>
            <w:tcW w:type="dxa" w:w="6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Nr.</w:t>
            </w:r>
          </w:p>
        </w:tc>
        <w:tc>
          <w:tcPr>
            <w:tcW w:type="dxa" w:w="28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Frage des Auftraggebers</w:t>
            </w:r>
          </w:p>
        </w:tc>
        <w:tc>
          <w:tcPr>
            <w:tcW w:type="dxa" w:w="717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Antwort des Betreibers</w:t>
            </w:r>
          </w:p>
        </w:tc>
        <w:tc>
          <w:tcPr>
            <w:tcW w:type="dxa" w:w="11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Status</w:t>
            </w:r>
          </w:p>
        </w:tc>
        <w:tc>
          <w:tcPr>
            <w:tcW w:type="dxa" w:w="27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Nachweis / Fundstelle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H1</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Ist der Betreiber nach ISO/IEC 27001 zertifiziert?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Nein, derzeit nicht.</w:t>
            </w:r>
            <w:r>
              <w:rPr>
                <w:rFonts w:ascii="Arial" w:cs="Arial" w:eastAsia="Arial" w:hAnsi="Arial"/>
                <w:sz w:val="18"/>
                <w:szCs w:val="18"/>
              </w:rPr>
              <w:t xml:space="preserve"> Der Aufbau eines ISMS nach ISO/IEC 27001 ist geplant. Bis zur Zertifizierung gelten die AWS-Zertifikate nur für die Infrastrukturschicht, nicht für Anwendung und Betrieb von CalenSync.</w:t>
            </w:r>
          </w:p>
        </w:tc>
        <w:tc>
          <w:tcPr>
            <w:tcW w:type="dxa" w:w="1150"/>
            <w:tcBorders>
              <w:top w:val="single" w:color="C8CCD4" w:sz="4"/>
              <w:left w:val="single" w:color="C8CCD4" w:sz="4"/>
              <w:bottom w:val="single" w:color="C8CCD4" w:sz="4"/>
              <w:right w:val="single" w:color="C8CCD4" w:sz="4"/>
            </w:tcBorders>
            <w:shd w:fill="F8D7DA" w:color="auto" w:val="clear"/>
            <w:tcMar>
              <w:top w:type="dxa" w:w="80"/>
              <w:left w:type="dxa" w:w="110"/>
              <w:bottom w:type="dxa" w:w="80"/>
              <w:right w:type="dxa" w:w="110"/>
            </w:tcMar>
          </w:tcPr>
          <w:p>
            <w:pPr>
              <w:spacing w:after="60"/>
            </w:pPr>
            <w:r>
              <w:rPr>
                <w:rFonts w:ascii="Arial" w:cs="Arial" w:eastAsia="Arial" w:hAnsi="Arial"/>
                <w:b/>
                <w:bCs/>
                <w:sz w:val="18"/>
                <w:szCs w:val="18"/>
              </w:rPr>
              <w:t xml:space="preserve">Offen</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Roadmap ISMS; AWS Artifact</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H2</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Unabhängiger Penetrationstest?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Ein externer Penetrationstest von Anwendung und Mandanten-Stack ist vor dem Produktivstart zu beauftragen, danach jährlich und nach wesentlichen Änderungen. Kritische Befunde werden vor dem Go-live behoben.</w:t>
            </w:r>
          </w:p>
        </w:tc>
        <w:tc>
          <w:tcPr>
            <w:tcW w:type="dxa" w:w="1150"/>
            <w:tcBorders>
              <w:top w:val="single" w:color="C8CCD4" w:sz="4"/>
              <w:left w:val="single" w:color="C8CCD4" w:sz="4"/>
              <w:bottom w:val="single" w:color="C8CCD4" w:sz="4"/>
              <w:right w:val="single" w:color="C8CCD4" w:sz="4"/>
            </w:tcBorders>
            <w:shd w:fill="F8D7DA" w:color="auto" w:val="clear"/>
            <w:tcMar>
              <w:top w:type="dxa" w:w="80"/>
              <w:left w:type="dxa" w:w="110"/>
              <w:bottom w:type="dxa" w:w="80"/>
              <w:right w:type="dxa" w:w="110"/>
            </w:tcMar>
          </w:tcPr>
          <w:p>
            <w:pPr>
              <w:spacing w:after="60"/>
            </w:pPr>
            <w:r>
              <w:rPr>
                <w:rFonts w:ascii="Arial" w:cs="Arial" w:eastAsia="Arial" w:hAnsi="Arial"/>
                <w:b/>
                <w:bCs/>
                <w:sz w:val="18"/>
                <w:szCs w:val="18"/>
              </w:rPr>
              <w:t xml:space="preserve">Offen</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Pentest-Bericht (ausstehend)</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H3</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Sicherer Entwicklungsprozess?</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Automatisierte Testsuite im ausgelieferten Code mit 143 Tests (app 21, core 71, scim 47, Frontend-Client 4), davon 12 gegen echtes PostgreSQL 16; u. a. Mandantentrennung, Kill-Switch-Transaktion, Sperr-Reihenfolge, SCIM-Transport-Härtung, Webhook-Validierung. Migrationen werden auf einer leeren Datenbank und idempotent geprüft. Container-Images werden per Digest gepinnt. Schwachstellenscan der Images und Abhängigkeiten im CI ist geplant.</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3-enterprise: app/test, core/test, scim/test, frontend/; Chaos- und Lasttests der separaten QA-Suite sind nicht Teil der Lieferung</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H4</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Regulatorische Zusatzanforderungen des Auftraggebers (DORA, NIS2, KRITIS)?</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Ist der Auftraggeber ein Finanzunternehmen im Sinne von DORA, werden die Vertragsinhalte nach Art. 30 DORA (u. a. Prüf- und Zugangsrechte, Exit-Strategie, Kündigungsrechte) in einer Zusatzvereinbarung abgebildet. NIS2- und KRITIS-Pflichten des Auftraggebers werden durch Meldewege und Nachweise unterstützt.</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Zusatzvereinbarung auf Anfrage</w:t>
            </w:r>
          </w:p>
        </w:tc>
      </w:tr>
    </w:tbl>
    <w:p>
      <w:pPr>
        <w:pStyle w:val="Heading1"/>
        <w:spacing w:after="160" w:before="360"/>
      </w:pPr>
      <w:r>
        <w:rPr>
          <w:rFonts w:ascii="Arial" w:cs="Arial" w:eastAsia="Arial" w:hAnsi="Arial"/>
        </w:rPr>
        <w:t xml:space="preserve">Offene Punkte vor Produktivstart</w:t>
      </w:r>
    </w:p>
    <w:p>
      <w:pPr>
        <w:pStyle w:val="ListParagraph"/>
        <w:numPr>
          <w:ilvl w:val="0"/>
          <w:numId w:val="2"/>
        </w:numPr>
        <w:spacing w:after="60"/>
      </w:pPr>
      <w:r>
        <w:rPr>
          <w:rFonts w:ascii="Arial" w:cs="Arial" w:eastAsia="Arial" w:hAnsi="Arial"/>
          <w:sz w:val="20"/>
          <w:szCs w:val="20"/>
        </w:rPr>
        <w:t xml:space="preserve">H1 ISMS nach ISO/IEC 27001: Projektplan und Zieltermin an den Auftraggeber übergeben.</w:t>
      </w:r>
    </w:p>
    <w:p>
      <w:pPr>
        <w:pStyle w:val="ListParagraph"/>
        <w:numPr>
          <w:ilvl w:val="0"/>
          <w:numId w:val="2"/>
        </w:numPr>
        <w:spacing w:after="60"/>
      </w:pPr>
      <w:r>
        <w:rPr>
          <w:rFonts w:ascii="Arial" w:cs="Arial" w:eastAsia="Arial" w:hAnsi="Arial"/>
          <w:sz w:val="20"/>
          <w:szCs w:val="20"/>
        </w:rPr>
        <w:t xml:space="preserve">A1 Kalenderabgleich fertigstellen und nachweisen, dass Termininhalte weder in Datenbank noch Logs gespeichert werden und im Modus „Als beschäftigt markieren“ nicht im Zielkalender ankommen.</w:t>
      </w:r>
    </w:p>
    <w:p>
      <w:pPr>
        <w:pStyle w:val="ListParagraph"/>
        <w:numPr>
          <w:ilvl w:val="0"/>
          <w:numId w:val="2"/>
        </w:numPr>
        <w:spacing w:after="60"/>
      </w:pPr>
      <w:r>
        <w:rPr>
          <w:rFonts w:ascii="Arial" w:cs="Arial" w:eastAsia="Arial" w:hAnsi="Arial"/>
          <w:sz w:val="20"/>
          <w:szCs w:val="20"/>
        </w:rPr>
        <w:t xml:space="preserve">H2 Externer Penetrationstest inkl. Behebung kritischer und hoher Befunde.</w:t>
      </w:r>
    </w:p>
    <w:p>
      <w:pPr>
        <w:pStyle w:val="ListParagraph"/>
        <w:numPr>
          <w:ilvl w:val="0"/>
          <w:numId w:val="2"/>
        </w:numPr>
        <w:spacing w:after="60"/>
      </w:pPr>
      <w:r>
        <w:rPr>
          <w:rFonts w:ascii="Arial" w:cs="Arial" w:eastAsia="Arial" w:hAnsi="Arial"/>
          <w:sz w:val="20"/>
          <w:szCs w:val="20"/>
        </w:rPr>
        <w:t xml:space="preserve">F3 Erster dokumentierter Restore-Test mit gemessenen RTO/RPO.</w:t>
      </w:r>
    </w:p>
    <w:p>
      <w:pPr>
        <w:pStyle w:val="ListParagraph"/>
        <w:numPr>
          <w:ilvl w:val="0"/>
          <w:numId w:val="2"/>
        </w:numPr>
        <w:spacing w:after="60"/>
      </w:pPr>
      <w:r>
        <w:rPr>
          <w:rFonts w:ascii="Arial" w:cs="Arial" w:eastAsia="Arial" w:hAnsi="Arial"/>
          <w:sz w:val="20"/>
          <w:szCs w:val="20"/>
        </w:rPr>
        <w:t xml:space="preserve">C1 End-to-End-TLS bis in den Container oder dokumentierte Risikoakzeptanz durch den Auftraggeber.</w:t>
      </w:r>
    </w:p>
    <w:p>
      <w:pPr>
        <w:pStyle w:val="ListParagraph"/>
        <w:numPr>
          <w:ilvl w:val="0"/>
          <w:numId w:val="2"/>
        </w:numPr>
        <w:spacing w:after="60"/>
      </w:pPr>
      <w:r>
        <w:rPr>
          <w:rFonts w:ascii="Arial" w:cs="Arial" w:eastAsia="Arial" w:hAnsi="Arial"/>
          <w:sz w:val="20"/>
          <w:szCs w:val="20"/>
        </w:rPr>
        <w:t xml:space="preserve">E3 SIEM-Anbindung einrichten und mit Testereignissen abnehmen.</w:t>
      </w:r>
    </w:p>
    <w:p>
      <w:r>
        <w:br w:type="page"/>
      </w:r>
    </w:p>
    <w:p>
      <w:pPr>
        <w:pStyle w:val="Heading1"/>
        <w:spacing w:after="160" w:before="360"/>
      </w:pPr>
      <w:r>
        <w:rPr>
          <w:rFonts w:ascii="Arial" w:cs="Arial" w:eastAsia="Arial" w:hAnsi="Arial"/>
        </w:rPr>
        <w:t xml:space="preserve">Bestätigung</w:t>
      </w:r>
    </w:p>
    <w:p>
      <w:pPr>
        <w:spacing w:after="120"/>
      </w:pPr>
      <w:r>
        <w:rPr>
          <w:rFonts w:ascii="Arial" w:cs="Arial" w:eastAsia="Arial" w:hAnsi="Arial"/>
          <w:sz w:val="20"/>
          <w:szCs w:val="20"/>
        </w:rPr>
        <w:t xml:space="preserve">Der Betreiber bestätigt, dass die vorstehenden Angaben zum Zeitpunkt der Unterzeichnung zutreffen, und verpflichtet sich, wesentliche Änderungen unverzüglich in Textform mitzuteilen. Dieses Fact Sheet wird Bestandteil der Auftragsverarbeitungsvereinbarung (Anlage 2, TOMs).</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85"/>
        <w:gridCol w:w="7285"/>
      </w:tblGrid>
      <w:tr>
        <w:trPr>
          <w:cantSplit/>
        </w:trPr>
        <w:tc>
          <w:tcPr>
            <w:tcW w:type="dxa" w:w="7285"/>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Für den Betreiber (Auftragsverarbeiter)</w:t>
            </w:r>
          </w:p>
          <w:p>
            <w:pPr>
              <w:spacing w:after="60"/>
            </w:pPr>
            <w:r>
              <w:rPr>
                <w:rFonts w:ascii="Arial" w:cs="Arial" w:eastAsia="Arial" w:hAnsi="Arial"/>
                <w:sz w:val="18"/>
                <w:szCs w:val="18"/>
              </w:rPr>
              <w:t xml:space="preserve">[Firmierung, Anschrift]</w:t>
            </w:r>
          </w:p>
          <w:p>
            <w:pPr>
              <w:spacing w:after="60"/>
            </w:pPr>
          </w:p>
          <w:p>
            <w:pPr>
              <w:spacing w:after="60"/>
            </w:pPr>
            <w:r>
              <w:rPr>
                <w:rFonts w:ascii="Arial" w:cs="Arial" w:eastAsia="Arial" w:hAnsi="Arial"/>
                <w:sz w:val="18"/>
                <w:szCs w:val="18"/>
              </w:rPr>
              <w:t xml:space="preserve">Ort, Datum: ______________________________</w:t>
            </w:r>
          </w:p>
          <w:p>
            <w:pPr>
              <w:spacing w:after="60"/>
            </w:pPr>
          </w:p>
          <w:p>
            <w:pPr>
              <w:spacing w:after="60"/>
            </w:pPr>
            <w:r>
              <w:rPr>
                <w:rFonts w:ascii="Arial" w:cs="Arial" w:eastAsia="Arial" w:hAnsi="Arial"/>
                <w:sz w:val="18"/>
                <w:szCs w:val="18"/>
              </w:rPr>
              <w:t xml:space="preserve">Name, Funktion: ___________________________</w:t>
            </w:r>
          </w:p>
          <w:p>
            <w:pPr>
              <w:spacing w:after="60"/>
            </w:pPr>
          </w:p>
          <w:p>
            <w:pPr>
              <w:spacing w:after="60"/>
            </w:pPr>
            <w:r>
              <w:rPr>
                <w:rFonts w:ascii="Arial" w:cs="Arial" w:eastAsia="Arial" w:hAnsi="Arial"/>
                <w:sz w:val="18"/>
                <w:szCs w:val="18"/>
              </w:rPr>
              <w:t xml:space="preserve">Unterschrift: _____________________________</w:t>
            </w:r>
          </w:p>
        </w:tc>
        <w:tc>
          <w:tcPr>
            <w:tcW w:type="dxa" w:w="7285"/>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Für den Auftraggeber (Verantwortlicher)</w:t>
            </w:r>
          </w:p>
          <w:p>
            <w:pPr>
              <w:spacing w:after="60"/>
            </w:pPr>
            <w:r>
              <w:rPr>
                <w:rFonts w:ascii="Arial" w:cs="Arial" w:eastAsia="Arial" w:hAnsi="Arial"/>
                <w:sz w:val="18"/>
                <w:szCs w:val="18"/>
              </w:rPr>
              <w:t xml:space="preserve">[Firmierung, Anschrift]</w:t>
            </w:r>
          </w:p>
          <w:p>
            <w:pPr>
              <w:spacing w:after="60"/>
            </w:pPr>
          </w:p>
          <w:p>
            <w:pPr>
              <w:spacing w:after="60"/>
            </w:pPr>
            <w:r>
              <w:rPr>
                <w:rFonts w:ascii="Arial" w:cs="Arial" w:eastAsia="Arial" w:hAnsi="Arial"/>
                <w:sz w:val="18"/>
                <w:szCs w:val="18"/>
              </w:rPr>
              <w:t xml:space="preserve">Ort, Datum: ______________________________</w:t>
            </w:r>
          </w:p>
          <w:p>
            <w:pPr>
              <w:spacing w:after="60"/>
            </w:pPr>
          </w:p>
          <w:p>
            <w:pPr>
              <w:spacing w:after="60"/>
            </w:pPr>
            <w:r>
              <w:rPr>
                <w:rFonts w:ascii="Arial" w:cs="Arial" w:eastAsia="Arial" w:hAnsi="Arial"/>
                <w:sz w:val="18"/>
                <w:szCs w:val="18"/>
              </w:rPr>
              <w:t xml:space="preserve">Name, Funktion: ___________________________</w:t>
            </w:r>
          </w:p>
          <w:p>
            <w:pPr>
              <w:spacing w:after="60"/>
            </w:pPr>
          </w:p>
          <w:p>
            <w:pPr>
              <w:spacing w:after="60"/>
            </w:pPr>
            <w:r>
              <w:rPr>
                <w:rFonts w:ascii="Arial" w:cs="Arial" w:eastAsia="Arial" w:hAnsi="Arial"/>
                <w:sz w:val="18"/>
                <w:szCs w:val="18"/>
              </w:rPr>
              <w:t xml:space="preserve">Unterschrift: _____________________________</w:t>
            </w:r>
          </w:p>
        </w:tc>
      </w:tr>
    </w:tbl>
    <w:sectPr>
      <w:headerReference w:type="default" r:id="rId7"/>
      <w:footerReference w:type="default" r:id="rId8"/>
      <w:pgSz w:w="16838" w:h="11906" w:orient="landscape"/>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F6368"/>
        <w:sz w:val="16"/>
        <w:szCs w:val="16"/>
      </w:rPr>
      <w:t xml:space="preserve">Seite </w:t>
      <w:fldChar w:fldCharType="begin"/>
      <w:instrText xml:space="preserve">PAGE</w:instrText>
      <w:fldChar w:fldCharType="separate"/>
      <w:fldChar w:fldCharType="end"/>
      <w:t xml:space="preserve"> von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F6368"/>
        <w:sz w:val="16"/>
        <w:szCs w:val="16"/>
      </w:rPr>
      <w:t xml:space="preserve">CalenSync Enterprise · Vertraulich – nur für den Auftraggeber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color w:val="1F1E4D"/>
      <w:sz w:val="40"/>
      <w:szCs w:val="40"/>
    </w:rPr>
  </w:style>
  <w:style w:type="paragraph" w:styleId="Heading1">
    <w:name w:val="Heading 1"/>
    <w:basedOn w:val="Normal"/>
    <w:next w:val="Normal"/>
    <w:qFormat/>
    <w:pPr>
      <w:spacing w:after="160" w:before="360"/>
      <w:outlineLvl w:val="0"/>
    </w:pPr>
    <w:rPr>
      <w:rFonts w:ascii="Arial" w:cs="Arial" w:eastAsia="Arial" w:hAnsi="Arial"/>
      <w:b/>
      <w:bCs/>
      <w:color w:val="3F3D9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CalenSync Enterprise – IT-Sicherheits- und Compliance-Fact-Sheet</dc:title>
  <dc:creator>CalenSync</dc:creator>
  <cp:lastModifiedBy>Un-named</cp:lastModifiedBy>
  <cp:revision>1</cp:revision>
  <dcterms:created xsi:type="dcterms:W3CDTF">2026-10-01T05:13:53.386Z</dcterms:created>
  <dcterms:modified xsi:type="dcterms:W3CDTF">2026-10-01T05:13:53.387Z</dcterms:modified>
</cp:coreProperties>
</file>

<file path=docProps/custom.xml><?xml version="1.0" encoding="utf-8"?>
<Properties xmlns="http://schemas.openxmlformats.org/officeDocument/2006/custom-properties" xmlns:vt="http://schemas.openxmlformats.org/officeDocument/2006/docPropsVTypes"/>
</file>