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合同差异检测算法专项测试文档（基准版+差异测试版）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一、测试说明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本文档专为合同差异识别算法测试定制，分为</w:t>
      </w:r>
      <w:r>
        <w:rPr>
          <w:rFonts w:eastAsia="等线" w:ascii="Arial" w:cs="Arial" w:hAnsi="Arial"/>
          <w:b w:val="true"/>
          <w:sz w:val="22"/>
        </w:rPr>
        <w:t>基准文档（标准无差异）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测试文档（含各类可控差异）</w:t>
      </w:r>
      <w:r>
        <w:rPr>
          <w:rFonts w:eastAsia="等线" w:ascii="Arial" w:cs="Arial" w:hAnsi="Arial"/>
          <w:sz w:val="22"/>
        </w:rPr>
        <w:t>，全覆盖项目需求场景：中英文混排、繁简体转换、数字/特殊字符、手写签名、印章、空格差异、文本错行、表格错位/宽度变动、自定义忽略字符、指定忽略项（印章、手写）。算法需精准识别有效差异、自动忽略配置项差异、校正排版错位并完成比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核心测试场景清单</w:t>
      </w:r>
      <w:r>
        <w:rPr>
          <w:rFonts w:eastAsia="等线" w:ascii="Arial" w:cs="Arial" w:hAnsi="Arial"/>
          <w:sz w:val="22"/>
        </w:rPr>
        <w:t>：1.多语种文字识别（中/英/繁體）；2.数字、特殊字符识别与空格检测；3.手写签名、印章内容忽略检测；4.自定义忽略字符适配；5.文本错行智能校正比对；6.表格错行、列宽变动校正与内容差异检测；7.混合场景综合差异识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二、基准文档（标准版 - 算法比对基准）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合同编号</w:t>
      </w:r>
      <w:r>
        <w:rPr>
          <w:rFonts w:eastAsia="等线" w:ascii="Arial" w:cs="Arial" w:hAnsi="Arial"/>
          <w:sz w:val="22"/>
        </w:rPr>
        <w:t>：HT-20260713-001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签约主体</w:t>
      </w:r>
      <w:r>
        <w:rPr>
          <w:rFonts w:eastAsia="等线" w:ascii="Arial" w:cs="Arial" w:hAnsi="Arial"/>
          <w:sz w:val="22"/>
        </w:rPr>
        <w:t>：甲方：XX科技有限公司  乙方：XX商贸有限公司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通用条款1（中英文混排）</w:t>
      </w:r>
      <w:r>
        <w:rPr>
          <w:rFonts w:eastAsia="等线" w:ascii="Arial" w:cs="Arial" w:hAnsi="Arial"/>
          <w:sz w:val="22"/>
        </w:rPr>
        <w:t>：双方确认本合同 Agreement is valid，有效期为 365 天，违约赔付比例为 5.8%。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通用条款2（繁体基准内容）</w:t>
      </w:r>
      <w:r>
        <w:rPr>
          <w:rFonts w:eastAsia="等线" w:ascii="Arial" w:cs="Arial" w:hAnsi="Arial"/>
          <w:sz w:val="22"/>
        </w:rPr>
        <w:t>：雙方承諾恪守合約條款，誠信履約，不得擅自變更約定事項。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通用条款3（特殊字符基准）</w:t>
      </w:r>
      <w:r>
        <w:rPr>
          <w:rFonts w:eastAsia="等线" w:ascii="Arial" w:cs="Arial" w:hAnsi="Arial"/>
          <w:sz w:val="22"/>
        </w:rPr>
        <w:t>：履约节点：①预付款30%、②完工验收、③尾款结算；备注：#正式生效、@双方共管、¥结算币种人民币。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手写/印章区域（基准）</w:t>
      </w:r>
      <w:r>
        <w:rPr>
          <w:rFonts w:eastAsia="等线" w:ascii="Arial" w:cs="Arial" w:hAnsi="Arial"/>
          <w:sz w:val="22"/>
        </w:rPr>
        <w:t>：【手写签名区域】（空白） 【公司印章区域】（空白）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自定义忽略字符基准</w:t>
      </w:r>
      <w:r>
        <w:rPr>
          <w:rFonts w:eastAsia="等线" w:ascii="Arial" w:cs="Arial" w:hAnsi="Arial"/>
          <w:sz w:val="22"/>
        </w:rPr>
        <w:t>：服务时长=12个月，服务等级★A级，对接编号&amp;007。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基准文档-合同明细表（标准表格、无错位、标准列宽）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服务项目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单价（元）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合计金额（元）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履约周期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</w:t>
            </w:r>
            <w:r>
              <w:rPr>
                <w:rFonts w:eastAsia="等线" w:ascii="Arial" w:cs="Arial" w:hAnsi="Arial"/>
                <w:sz w:val="22"/>
              </w:rPr>
              <w:t>开发服务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8500.00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8500.00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90天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运维技术支持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7200.00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12个月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资料定制整理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30天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基准结尾条款</w:t>
      </w:r>
      <w:r>
        <w:rPr>
          <w:rFonts w:eastAsia="等线" w:ascii="Arial" w:cs="Arial" w:hAnsi="Arial"/>
          <w:sz w:val="22"/>
        </w:rPr>
        <w:t>：本合同一式两份，甲乙双方各执一份，签字盖章后生效，未尽事宜双方协商补充。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三、测试文档（差异版 - 含全场景测试差异）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合同编号</w:t>
      </w:r>
      <w:r>
        <w:rPr>
          <w:rFonts w:eastAsia="等线" w:ascii="Arial" w:cs="Arial" w:hAnsi="Arial"/>
          <w:sz w:val="22"/>
        </w:rPr>
        <w:t>：HT-20260713-002（</w:t>
      </w:r>
      <w:r>
        <w:rPr>
          <w:rFonts w:eastAsia="等线" w:ascii="Arial" w:cs="Arial" w:hAnsi="Arial"/>
          <w:b w:val="true"/>
          <w:sz w:val="22"/>
        </w:rPr>
        <w:t>有效差异：编号变更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签约主体</w:t>
      </w:r>
      <w:r>
        <w:rPr>
          <w:rFonts w:eastAsia="等线" w:ascii="Arial" w:cs="Arial" w:hAnsi="Arial"/>
          <w:sz w:val="22"/>
        </w:rPr>
        <w:t>：甲方：XX科技有限公司  乙方：XX贸易有限公司（</w:t>
      </w:r>
      <w:r>
        <w:rPr>
          <w:rFonts w:eastAsia="等线" w:ascii="Arial" w:cs="Arial" w:hAnsi="Arial"/>
          <w:b w:val="true"/>
          <w:sz w:val="22"/>
        </w:rPr>
        <w:t>有效差异：乙方名称文字变更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通用条款1（中英文+空格差异）</w:t>
      </w:r>
      <w:r>
        <w:rPr>
          <w:rFonts w:eastAsia="等线" w:ascii="Arial" w:cs="Arial" w:hAnsi="Arial"/>
          <w:sz w:val="22"/>
        </w:rPr>
        <w:t>：双方确认本合同 Agreement  is valid，有效期为365天，违约赔付比例为5.9 %。（</w:t>
      </w:r>
      <w:r>
        <w:rPr>
          <w:rFonts w:eastAsia="等线" w:ascii="Arial" w:cs="Arial" w:hAnsi="Arial"/>
          <w:b w:val="true"/>
          <w:sz w:val="22"/>
        </w:rPr>
        <w:t>差异点：英文单词间多空格、数字字符间空格错位、百分比数值变更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通用条款2（繁简体差异）</w:t>
      </w:r>
      <w:r>
        <w:rPr>
          <w:rFonts w:eastAsia="等线" w:ascii="Arial" w:cs="Arial" w:hAnsi="Arial"/>
          <w:sz w:val="22"/>
        </w:rPr>
        <w:t>：双方承诺恪守合约条款，诚信履约，不得擅自更改约定事项。（</w:t>
      </w:r>
      <w:r>
        <w:rPr>
          <w:rFonts w:eastAsia="等线" w:ascii="Arial" w:cs="Arial" w:hAnsi="Arial"/>
          <w:b w:val="true"/>
          <w:sz w:val="22"/>
        </w:rPr>
        <w:t>差异点：繁体全部转为简体，文字语义一致字形变更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通用条款3（特殊字符差异）</w:t>
      </w:r>
      <w:r>
        <w:rPr>
          <w:rFonts w:eastAsia="等线" w:ascii="Arial" w:cs="Arial" w:hAnsi="Arial"/>
          <w:sz w:val="22"/>
        </w:rPr>
        <w:t>：履约节点：①预付款35%、②完工核验、③尾款结清；备注：#正式生效、@双方共管、$结算币种人民币。（</w:t>
      </w:r>
      <w:r>
        <w:rPr>
          <w:rFonts w:eastAsia="等线" w:ascii="Arial" w:cs="Arial" w:hAnsi="Arial"/>
          <w:b w:val="true"/>
          <w:sz w:val="22"/>
        </w:rPr>
        <w:t>差异点：数字比例变更、文字修改、货币特殊字符¥改为$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手写/印章区域（忽略项测试）</w:t>
      </w:r>
      <w:r>
        <w:rPr>
          <w:rFonts w:eastAsia="等线" w:ascii="Arial" w:cs="Arial" w:hAnsi="Arial"/>
          <w:sz w:val="22"/>
        </w:rPr>
        <w:t>：【手写签名区域】：张三（手写签名） 【公司印章区域】：XX科技有限公司公章（红色印章图案文字）（</w:t>
      </w:r>
      <w:r>
        <w:rPr>
          <w:rFonts w:eastAsia="等线" w:ascii="Arial" w:cs="Arial" w:hAnsi="Arial"/>
          <w:b w:val="true"/>
          <w:sz w:val="22"/>
        </w:rPr>
        <w:t>测试点：算法需配置忽略手写签名、印章差异，不判定为有效差异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自定义忽略字符测试</w:t>
      </w:r>
      <w:r>
        <w:rPr>
          <w:rFonts w:eastAsia="等线" w:ascii="Arial" w:cs="Arial" w:hAnsi="Arial"/>
          <w:sz w:val="22"/>
        </w:rPr>
        <w:t>：服务时长=12个月，服务等级☆A级，对接编号#007。（</w:t>
      </w:r>
      <w:r>
        <w:rPr>
          <w:rFonts w:eastAsia="等线" w:ascii="Arial" w:cs="Arial" w:hAnsi="Arial"/>
          <w:b w:val="true"/>
          <w:sz w:val="22"/>
        </w:rPr>
        <w:t>测试点：自定义忽略★/☆、&amp;/#特殊字符，算法需忽略该类字符差异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文本错行测试段落</w:t>
      </w:r>
      <w:r>
        <w:rPr>
          <w:rFonts w:eastAsia="等线" w:ascii="Arial" w:cs="Arial" w:hAnsi="Arial"/>
          <w:sz w:val="22"/>
        </w:rPr>
        <w:t>：（本段人为制造错行排版，测试算法错行校正比对能力）</w:t>
        <w:br/>
        <w:t xml:space="preserve">        </w:t>
        <w:br/>
        <w:t>本合同所有服务内容</w:t>
        <w:br/>
        <w:t xml:space="preserve">        </w:t>
        <w:br/>
        <w:t>均需符合国家行业标准</w:t>
        <w:br/>
        <w:t>基准文档为单行完整内容，测试文档强制拆分行错乱排布</w:t>
        <w:br/>
        <w:t xml:space="preserve">   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测试文档-合同明细表（表格错位+列宽变动+内容差异）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表格测试点</w:t>
      </w:r>
      <w:r>
        <w:rPr>
          <w:rFonts w:eastAsia="等线" w:ascii="Arial" w:cs="Arial" w:hAnsi="Arial"/>
          <w:sz w:val="22"/>
        </w:rPr>
        <w:t>：人为调整表格列宽、局部行错位、单元格内容修改、空行错位，测试算法表格校正与差异识别能力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服务项目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单价（元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合计金额（元）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履约周期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系统开发服务（升级版）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8500.00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</w:t>
            </w:r>
            <w:r>
              <w:rPr>
                <w:rFonts w:eastAsia="等线" w:ascii="Arial" w:cs="Arial" w:hAnsi="Arial"/>
                <w:sz w:val="22"/>
              </w:rPr>
              <w:t>00.00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90天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（人为空行错位，制造表格排版偏差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13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运维技术支持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780</w:t>
            </w: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12个月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资料定制</w:t>
            </w:r>
            <w:r>
              <w:rPr>
                <w:rFonts w:eastAsia="等线" w:ascii="Arial" w:cs="Arial" w:hAnsi="Arial"/>
                <w:sz w:val="22"/>
              </w:rPr>
              <w:t>整理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1200</w:t>
            </w:r>
            <w:r>
              <w:rPr>
                <w:rFonts w:eastAsia="等线" w:ascii="Arial" w:cs="Arial" w:hAnsi="Arial"/>
                <w:sz w:val="22"/>
              </w:rPr>
              <w:t>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</w:t>
            </w:r>
            <w:r>
              <w:rPr>
                <w:rFonts w:eastAsia="等线" w:ascii="Arial" w:cs="Arial" w:hAnsi="Arial"/>
                <w:sz w:val="22"/>
              </w:rPr>
              <w:t>天（</w:t>
            </w:r>
            <w:r>
              <w:rPr>
                <w:rFonts w:eastAsia="等线" w:ascii="Arial" w:cs="Arial" w:hAnsi="Arial"/>
                <w:b w:val="true"/>
                <w:sz w:val="22"/>
              </w:rPr>
              <w:t>有效差异：履约周期变更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测试结尾条款（错行+内容差异）</w:t>
      </w:r>
      <w:r>
        <w:rPr>
          <w:rFonts w:eastAsia="等线" w:ascii="Arial" w:cs="Arial" w:hAnsi="Arial"/>
          <w:sz w:val="22"/>
        </w:rPr>
        <w:t>：</w:t>
        <w:br/>
        <w:t xml:space="preserve">        </w:t>
        <w:br/>
      </w:r>
      <w:r>
        <w:rPr>
          <w:rFonts w:eastAsia="等线" w:ascii="Arial" w:cs="Arial" w:hAnsi="Arial"/>
          <w:sz w:val="22"/>
        </w:rPr>
        <w:t>本合同一式三份（</w:t>
      </w:r>
      <w:r>
        <w:rPr>
          <w:rFonts w:eastAsia="等线" w:ascii="Arial" w:cs="Arial" w:hAnsi="Arial"/>
          <w:b w:val="true"/>
          <w:sz w:val="22"/>
        </w:rPr>
        <w:t>有效差异：份数变更</w:t>
      </w:r>
      <w:r>
        <w:rPr>
          <w:rFonts w:eastAsia="等线" w:ascii="Arial" w:cs="Arial" w:hAnsi="Arial"/>
          <w:sz w:val="22"/>
        </w:rPr>
        <w:t>）</w:t>
        <w:br/>
        <w:t xml:space="preserve">        </w:t>
        <w:br/>
        <w:t>甲乙双方各执一份，</w:t>
        <w:br/>
        <w:t xml:space="preserve">        </w:t>
        <w:br/>
        <w:t>签字盖章后即刻生效，</w:t>
        <w:br/>
        <w:t xml:space="preserve">        </w:t>
        <w:br/>
      </w:r>
      <w:r>
        <w:rPr>
          <w:rFonts w:eastAsia="等线" w:ascii="Arial" w:cs="Arial" w:hAnsi="Arial"/>
          <w:sz w:val="22"/>
        </w:rPr>
        <w:t>未尽事宜双方另行协商补充。（</w:t>
      </w:r>
      <w:r>
        <w:rPr>
          <w:rFonts w:eastAsia="等线" w:ascii="Arial" w:cs="Arial" w:hAnsi="Arial"/>
          <w:b w:val="true"/>
          <w:sz w:val="22"/>
        </w:rPr>
        <w:t>全文错行排版，测试算法校正比对</w:t>
      </w:r>
      <w:r>
        <w:rPr>
          <w:rFonts w:eastAsia="等线" w:ascii="Arial" w:cs="Arial" w:hAnsi="Arial"/>
          <w:sz w:val="22"/>
        </w:rPr>
        <w:t>）</w:t>
        <w:br/>
        <w:t xml:space="preserve">  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四、算法测试校验标准（必过项）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需精准识别的有效差异（算法必须检出）</w:t>
      </w:r>
      <w:bookmarkEnd w:id="6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合同编号、乙方公司名称文本差异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英文、数字、字符间空格错位差异，百分比数值变更差异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条款文字内容、特殊字符（¥/$）、履约比例数值差异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表格服务项目名称、单价、合计金额、履约周期内容差异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合同份数、结尾条款文字内容差异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繁简体字形变更带来的文本差异（无配置忽略字形时）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需自动忽略的差异（算法必须过滤）</w:t>
      </w:r>
      <w:bookmarkEnd w:id="7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手写签名、手写文字内容差异（配置手写忽略）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公司印章图案、印章文字差异（配置印章忽略）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自定义配置特殊字符（★/☆、&amp;/#）差异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排版校正能力校验（算法必须适配）</w:t>
      </w:r>
      <w:bookmarkEnd w:id="8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全文文本错行、强制换行错乱，可自动校正并精准比对内容差异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表格列宽变动、表格空行、局部行错位，可校正排版，不产生无效排版差异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表格单元格内容错位不影响真实文字、数字差异识别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 全维度识别能力校验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算法需完整识别：中文、英文、繁体汉字、阿拉伯数字、标点符号、特殊符号（①②③#@¥$★☆&amp;）、表格内文字、手写体文字，无漏识别、误识别情况。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21912">
    <w:lvl>
      <w:numFmt w:val="bullet"/>
      <w:suff w:val="tab"/>
      <w:lvlText w:val="•"/>
      <w:rPr>
        <w:color w:val="3370ff"/>
      </w:rPr>
    </w:lvl>
  </w:abstractNum>
  <w:abstractNum w:abstractNumId="521913">
    <w:lvl>
      <w:numFmt w:val="bullet"/>
      <w:suff w:val="tab"/>
      <w:lvlText w:val="•"/>
      <w:rPr>
        <w:color w:val="3370ff"/>
      </w:rPr>
    </w:lvl>
  </w:abstractNum>
  <w:abstractNum w:abstractNumId="521914">
    <w:lvl>
      <w:numFmt w:val="bullet"/>
      <w:suff w:val="tab"/>
      <w:lvlText w:val="•"/>
      <w:rPr>
        <w:color w:val="3370ff"/>
      </w:rPr>
    </w:lvl>
  </w:abstractNum>
  <w:abstractNum w:abstractNumId="521915">
    <w:lvl>
      <w:numFmt w:val="bullet"/>
      <w:suff w:val="tab"/>
      <w:lvlText w:val="•"/>
      <w:rPr>
        <w:color w:val="3370ff"/>
      </w:rPr>
    </w:lvl>
  </w:abstractNum>
  <w:abstractNum w:abstractNumId="521916">
    <w:lvl>
      <w:numFmt w:val="bullet"/>
      <w:suff w:val="tab"/>
      <w:lvlText w:val="•"/>
      <w:rPr>
        <w:color w:val="3370ff"/>
      </w:rPr>
    </w:lvl>
  </w:abstractNum>
  <w:abstractNum w:abstractNumId="521917">
    <w:lvl>
      <w:numFmt w:val="bullet"/>
      <w:suff w:val="tab"/>
      <w:lvlText w:val="•"/>
      <w:rPr>
        <w:color w:val="3370ff"/>
      </w:rPr>
    </w:lvl>
  </w:abstractNum>
  <w:abstractNum w:abstractNumId="521918">
    <w:lvl>
      <w:numFmt w:val="bullet"/>
      <w:suff w:val="tab"/>
      <w:lvlText w:val="•"/>
      <w:rPr>
        <w:color w:val="3370ff"/>
      </w:rPr>
    </w:lvl>
  </w:abstractNum>
  <w:abstractNum w:abstractNumId="521919">
    <w:lvl>
      <w:numFmt w:val="bullet"/>
      <w:suff w:val="tab"/>
      <w:lvlText w:val="•"/>
      <w:rPr>
        <w:color w:val="3370ff"/>
      </w:rPr>
    </w:lvl>
  </w:abstractNum>
  <w:abstractNum w:abstractNumId="521920">
    <w:lvl>
      <w:numFmt w:val="bullet"/>
      <w:suff w:val="tab"/>
      <w:lvlText w:val="•"/>
      <w:rPr>
        <w:color w:val="3370ff"/>
      </w:rPr>
    </w:lvl>
  </w:abstractNum>
  <w:abstractNum w:abstractNumId="521921">
    <w:lvl>
      <w:numFmt w:val="bullet"/>
      <w:suff w:val="tab"/>
      <w:lvlText w:val="•"/>
      <w:rPr>
        <w:color w:val="3370ff"/>
      </w:rPr>
    </w:lvl>
  </w:abstractNum>
  <w:abstractNum w:abstractNumId="521922">
    <w:lvl>
      <w:numFmt w:val="bullet"/>
      <w:suff w:val="tab"/>
      <w:lvlText w:val="•"/>
      <w:rPr>
        <w:color w:val="3370ff"/>
      </w:rPr>
    </w:lvl>
  </w:abstractNum>
  <w:abstractNum w:abstractNumId="521923">
    <w:lvl>
      <w:numFmt w:val="bullet"/>
      <w:suff w:val="tab"/>
      <w:lvlText w:val="•"/>
      <w:rPr>
        <w:color w:val="3370ff"/>
      </w:rPr>
    </w:lvl>
  </w:abstractNum>
  <w:num w:numId="1">
    <w:abstractNumId w:val="521912"/>
  </w:num>
  <w:num w:numId="2">
    <w:abstractNumId w:val="521913"/>
  </w:num>
  <w:num w:numId="3">
    <w:abstractNumId w:val="521914"/>
  </w:num>
  <w:num w:numId="4">
    <w:abstractNumId w:val="521915"/>
  </w:num>
  <w:num w:numId="5">
    <w:abstractNumId w:val="521916"/>
  </w:num>
  <w:num w:numId="6">
    <w:abstractNumId w:val="521917"/>
  </w:num>
  <w:num w:numId="7">
    <w:abstractNumId w:val="521918"/>
  </w:num>
  <w:num w:numId="8">
    <w:abstractNumId w:val="521919"/>
  </w:num>
  <w:num w:numId="9">
    <w:abstractNumId w:val="521920"/>
  </w:num>
  <w:num w:numId="10">
    <w:abstractNumId w:val="521921"/>
  </w:num>
  <w:num w:numId="11">
    <w:abstractNumId w:val="521922"/>
  </w:num>
  <w:num w:numId="12">
    <w:abstractNumId w:val="52192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2026-07-13T00:34:33Z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{"Label":"1","ContentProducer":"001191110102MACQD9K64010000","ProduceID":"7661804444350631110","ReservedCode1":"","ContentPropagator":"","PropagateID":"","ReservedCode2":""}</vt:lpwstr>
  </property>
</Properties>
</file>