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z w:val="48"/>
          <w:szCs w:val="48"/>
        </w:rPr>
        <w:t xml:space="preserve">FNB NAV Data Platform</w:t>
      </w:r>
    </w:p>
    <w:p>
      <w:pPr>
        <w:spacing w:after="400"/>
        <w:jc w:val="center"/>
      </w:pPr>
      <w:r>
        <w:rPr>
          <w:rFonts w:ascii="Arial" w:cs="Arial" w:eastAsia="Arial" w:hAnsi="Arial"/>
          <w:color w:val="1F2937"/>
          <w:sz w:val="32"/>
          <w:szCs w:val="32"/>
        </w:rPr>
        <w:t xml:space="preserve">Solution Overview</w:t>
      </w:r>
    </w:p>
    <w:p>
      <w:pPr>
        <w:spacing w:after="120"/>
        <w:jc w:val="center"/>
      </w:pPr>
      <w:r>
        <w:rPr>
          <w:rFonts w:ascii="Arial" w:cs="Arial" w:eastAsia="Arial" w:hAnsi="Arial"/>
          <w:color w:val="6B7280"/>
          <w:sz w:val="24"/>
          <w:szCs w:val="24"/>
        </w:rPr>
        <w:t xml:space="preserve">For leadership and stakeholders</w:t>
      </w:r>
    </w:p>
    <w:p>
      <w:pPr>
        <w:spacing w:before="1800"/>
      </w:pPr>
    </w:p>
    <w:p>
      <w:pPr>
        <w:jc w:val="center"/>
      </w:pPr>
      <w:r>
        <w:rPr>
          <w:rFonts w:ascii="Arial" w:cs="Arial" w:eastAsia="Arial" w:hAnsi="Arial"/>
          <w:color w:val="6B7280"/>
          <w:sz w:val="22"/>
          <w:szCs w:val="22"/>
        </w:rPr>
        <w:t xml:space="preserve">Prosper Sikhwari  |  March 2026  |  Internal</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200"/>
              <w:bottom w:type="dxa" w:w="120"/>
              <w:right w:type="dxa" w:w="200"/>
            </w:tcMar>
          </w:tcPr>
          <w:p>
            <w:r>
              <w:rPr>
                <w:rFonts w:ascii="Arial" w:cs="Arial" w:eastAsia="Arial" w:hAnsi="Arial"/>
                <w:color w:val="1F2937"/>
                <w:sz w:val="20"/>
                <w:szCs w:val="20"/>
              </w:rPr>
              <w:t xml:space="preserve">Note on version control: No shared or public repositories have been provisioned for this project. All source code is managed via local Git on the developer’s machine using VS Code. No data, credentials, or proprietary information is stored externally. When a shared repository is provisioned, the codebase can be migrated in minutes.</w:t>
            </w:r>
          </w:p>
        </w:tc>
      </w:tr>
    </w:tbl>
    <w:p>
      <w:pPr>
        <w:spacing w:after="200"/>
      </w:pPr>
    </w:p>
    <w:p>
      <w:pPr>
        <w:pBdr>
          <w:bottom w:val="single" w:color="2E75B6" w:sz="6" w:space="8"/>
        </w:pBdr>
        <w:spacing w:after="200"/>
      </w:pPr>
      <w:r>
        <w:rPr>
          <w:rFonts w:ascii="Arial" w:cs="Arial" w:eastAsia="Arial" w:hAnsi="Arial"/>
          <w:b/>
          <w:bCs/>
          <w:color w:val="2E75B6"/>
          <w:sz w:val="36"/>
          <w:szCs w:val="36"/>
        </w:rPr>
        <w:t xml:space="preserve">TL;DR</w:t>
      </w:r>
    </w:p>
    <w:p>
      <w:pPr>
        <w:spacing w:after="160"/>
      </w:pPr>
      <w:r>
        <w:rPr>
          <w:rFonts w:ascii="Arial" w:cs="Arial" w:eastAsia="Arial" w:hAnsi="Arial"/>
          <w:color w:val="1F2937"/>
          <w:sz w:val="22"/>
          <w:szCs w:val="22"/>
        </w:rPr>
        <w:t xml:space="preserve">We transformed a manual, fragmented analytics environment into an automated pipeline that processes 2.2 billion transactions and 7.2 million customers to produce client-ready insights. Two machine learning models run inside BigQuery — customer segmentation and churn prediction. A prototype dashboard lets the team pitch any client by selecting from a dropdown. No recoding, no re-running.</w:t>
      </w:r>
    </w:p>
    <w:p>
      <w:pPr>
        <w:spacing w:after="160"/>
      </w:pPr>
      <w:r>
        <w:rPr>
          <w:rFonts w:ascii="Arial" w:cs="Arial" w:eastAsia="Arial" w:hAnsi="Arial"/>
          <w:color w:val="1F2937"/>
          <w:sz w:val="22"/>
          <w:szCs w:val="22"/>
        </w:rPr>
        <w:t xml:space="preserve">The Streamlit dashboard is a development and feedback tool only. Once stakeholders sign off on the views, the final client-facing dashboard will be built in Looker Studio as per requirements.</w:t>
      </w:r>
    </w:p>
    <w:p>
      <w:pPr>
        <w:pStyle w:val="Heading1"/>
      </w:pPr>
      <w:r>
        <w:rPr>
          <w:rFonts w:ascii="Arial" w:cs="Arial" w:eastAsia="Arial" w:hAnsi="Arial"/>
        </w:rPr>
        <w:t xml:space="preserve">1. What changed</w:t>
      </w:r>
    </w:p>
    <w:p>
      <w:pPr>
        <w:pStyle w:val="Heading2"/>
      </w:pPr>
      <w:r>
        <w:rPr>
          <w:rFonts w:ascii="Arial" w:cs="Arial" w:eastAsia="Arial" w:hAnsi="Arial"/>
        </w:rPr>
        <w:t xml:space="preserve">Before</w:t>
      </w:r>
    </w:p>
    <w:p>
      <w:pPr>
        <w:spacing w:after="160"/>
      </w:pPr>
      <w:r>
        <w:rPr>
          <w:rFonts w:ascii="Arial" w:cs="Arial" w:eastAsia="Arial" w:hAnsi="Arial"/>
          <w:color w:val="1F2937"/>
          <w:sz w:val="22"/>
          <w:szCs w:val="22"/>
        </w:rPr>
        <w:t xml:space="preserve">For each client pitch, the team would write a query from scratch, run it in BigQuery, export results to Excel, and manually build visuals. This process repeated for every client. There were 30+ loose shared queries with no naming convention, 16+ unversioned notebooks, duplicate queries, and field names like “demo_5” that nobody could decipher without a lookup table.</w:t>
      </w:r>
    </w:p>
    <w:p>
      <w:pPr>
        <w:pStyle w:val="Heading2"/>
      </w:pPr>
      <w:r>
        <w:rPr>
          <w:rFonts w:ascii="Arial" w:cs="Arial" w:eastAsia="Arial" w:hAnsi="Arial"/>
        </w:rPr>
        <w:t xml:space="preserve">After</w:t>
      </w:r>
    </w:p>
    <w:p>
      <w:pPr>
        <w:spacing w:after="160"/>
      </w:pPr>
      <w:r>
        <w:rPr>
          <w:rFonts w:ascii="Arial" w:cs="Arial" w:eastAsia="Arial" w:hAnsi="Arial"/>
          <w:color w:val="1F2937"/>
          <w:sz w:val="22"/>
          <w:szCs w:val="22"/>
        </w:rPr>
        <w:t xml:space="preserve">One command builds the entire pipeline. The team picks a category and client from a dropdown — Monday they pitch Adidas, Wednesday they pitch Nike, Friday they pitch Shell. Same pipeline, same dashboard, zero SQL changes. Competitors are automatically anonymized.</w:t>
      </w:r>
    </w:p>
    <w:p>
      <w:pPr>
        <w:pStyle w:val="Heading1"/>
      </w:pPr>
      <w:r>
        <w:rPr>
          <w:rFonts w:ascii="Arial" w:cs="Arial" w:eastAsia="Arial" w:hAnsi="Arial"/>
        </w:rPr>
        <w:t xml:space="preserve">2. Business value delivered</w:t>
      </w:r>
    </w:p>
    <w:p>
      <w:pPr>
        <w:pStyle w:val="Heading2"/>
      </w:pPr>
      <w:r>
        <w:rPr>
          <w:rFonts w:ascii="Arial" w:cs="Arial" w:eastAsia="Arial" w:hAnsi="Arial"/>
        </w:rPr>
        <w:t xml:space="preserve">Customer segmentation (ML)</w:t>
      </w:r>
    </w:p>
    <w:p>
      <w:pPr>
        <w:spacing w:after="160"/>
      </w:pPr>
      <w:r>
        <w:rPr>
          <w:rFonts w:ascii="Arial" w:cs="Arial" w:eastAsia="Arial" w:hAnsi="Arial"/>
          <w:color w:val="1F2937"/>
          <w:sz w:val="22"/>
          <w:szCs w:val="22"/>
        </w:rPr>
        <w:t xml:space="preserve">The pipeline automatically groups 5.8 million customers into 5 behavioral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200"/>
        <w:gridCol w:w="3360"/>
      </w:tblGrid>
      <w:tr>
        <w:tc>
          <w:tcPr>
            <w:tcW w:type="dxa" w:w="20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customers</w:t>
            </w:r>
          </w:p>
        </w:tc>
        <w:tc>
          <w:tcPr>
            <w:tcW w:type="dxa" w:w="1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revenue</w:t>
            </w:r>
          </w:p>
        </w:tc>
        <w:tc>
          <w:tcPr>
            <w:tcW w:type="dxa" w:w="1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Avg spend</w:t>
            </w:r>
          </w:p>
        </w:tc>
        <w:tc>
          <w:tcPr>
            <w:tcW w:type="dxa" w:w="3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Champions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8.2%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44.5%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R770,553</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Retain with exclusive offers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Loyal High Value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14.8%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22.3%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R270,103</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Cross-sell into new categories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Steady Mid-Tier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30.1%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18.7%</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R67,662</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Upsell to higher tiers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At Risk</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19.9%</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8.3%</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R11,432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Re-engage before they leave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Dormant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27.0%</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6.2%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R11,141</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Win-back or accept attrition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r>
              <w:rPr>
                <w:rFonts w:ascii="Arial" w:cs="Arial" w:eastAsia="Arial" w:hAnsi="Arial"/>
                <w:color w:val="1F2937"/>
                <w:sz w:val="20"/>
                <w:szCs w:val="20"/>
              </w:rPr>
              <w:t xml:space="preserve">Headline: Champions are 8.2% of customers but drive 44.5% of revenue.</w:t>
            </w:r>
          </w:p>
        </w:tc>
      </w:tr>
    </w:tbl>
    <w:p>
      <w:pPr>
        <w:spacing w:after="200"/>
      </w:pPr>
    </w:p>
    <w:p>
      <w:pPr>
        <w:pStyle w:val="Heading2"/>
      </w:pPr>
      <w:r>
        <w:rPr>
          <w:rFonts w:ascii="Arial" w:cs="Arial" w:eastAsia="Arial" w:hAnsi="Arial"/>
        </w:rPr>
        <w:t xml:space="preserve">Churn prediction (ML)</w:t>
      </w:r>
    </w:p>
    <w:p>
      <w:pPr>
        <w:spacing w:after="160"/>
      </w:pPr>
      <w:r>
        <w:rPr>
          <w:rFonts w:ascii="Arial" w:cs="Arial" w:eastAsia="Arial" w:hAnsi="Arial"/>
          <w:color w:val="1F2937"/>
          <w:sz w:val="22"/>
          <w:szCs w:val="22"/>
        </w:rPr>
        <w:t xml:space="preserve">The model scores every customer with a churn probability (0–100%):</w:t>
      </w:r>
    </w:p>
    <w:p>
      <w:pPr>
        <w:pStyle w:val="ListParagraph"/>
        <w:numPr>
          <w:ilvl w:val="0"/>
          <w:numId w:val="2"/>
        </w:numPr>
        <w:spacing w:after="80"/>
      </w:pPr>
      <w:r>
        <w:rPr>
          <w:rFonts w:ascii="Arial" w:cs="Arial" w:eastAsia="Arial" w:hAnsi="Arial"/>
          <w:color w:val="1F2937"/>
          <w:sz w:val="22"/>
          <w:szCs w:val="22"/>
        </w:rPr>
        <w:t xml:space="preserve">666,301 customers (12%) flagged as Critical or High risk</w:t>
      </w:r>
    </w:p>
    <w:p>
      <w:pPr>
        <w:pStyle w:val="ListParagraph"/>
        <w:numPr>
          <w:ilvl w:val="0"/>
          <w:numId w:val="2"/>
        </w:numPr>
        <w:spacing w:after="80"/>
      </w:pPr>
      <w:r>
        <w:rPr>
          <w:rFonts w:ascii="Arial" w:cs="Arial" w:eastAsia="Arial" w:hAnsi="Arial"/>
          <w:color w:val="1F2937"/>
          <w:sz w:val="22"/>
          <w:szCs w:val="22"/>
        </w:rPr>
        <w:t xml:space="preserve">R31.6 billion in historical spend at risk</w:t>
      </w:r>
    </w:p>
    <w:p>
      <w:pPr>
        <w:pStyle w:val="ListParagraph"/>
        <w:numPr>
          <w:ilvl w:val="0"/>
          <w:numId w:val="2"/>
        </w:numPr>
        <w:spacing w:after="80"/>
      </w:pPr>
      <w:r>
        <w:rPr>
          <w:rFonts w:ascii="Arial" w:cs="Arial" w:eastAsia="Arial" w:hAnsi="Arial"/>
          <w:color w:val="1F2937"/>
          <w:sz w:val="22"/>
          <w:szCs w:val="22"/>
        </w:rPr>
        <w:t xml:space="preserve">A 10% re-engagement rate would recover ~R3.16 billion</w:t>
      </w:r>
    </w:p>
    <w:p>
      <w:pPr>
        <w:pStyle w:val="ListParagraph"/>
        <w:numPr>
          <w:ilvl w:val="0"/>
          <w:numId w:val="2"/>
        </w:numPr>
        <w:spacing w:after="80"/>
      </w:pPr>
      <w:r>
        <w:rPr>
          <w:rFonts w:ascii="Arial" w:cs="Arial" w:eastAsia="Arial" w:hAnsi="Arial"/>
          <w:color w:val="1F2937"/>
          <w:sz w:val="22"/>
          <w:szCs w:val="22"/>
        </w:rPr>
        <w:t xml:space="preserve">Model accuracy: 83.1%</w:t>
      </w:r>
    </w:p>
    <w:p>
      <w:pPr>
        <w:pStyle w:val="Heading2"/>
      </w:pPr>
      <w:r>
        <w:rPr>
          <w:rFonts w:ascii="Arial" w:cs="Arial" w:eastAsia="Arial" w:hAnsi="Arial"/>
        </w:rPr>
        <w:t xml:space="preserve">Client pitch readiness</w:t>
      </w:r>
    </w:p>
    <w:p>
      <w:pPr>
        <w:pStyle w:val="ListParagraph"/>
        <w:numPr>
          <w:ilvl w:val="0"/>
          <w:numId w:val="2"/>
        </w:numPr>
        <w:spacing w:after="80"/>
      </w:pPr>
      <w:r>
        <w:rPr>
          <w:rFonts w:ascii="Arial" w:cs="Arial" w:eastAsia="Arial" w:hAnsi="Arial"/>
          <w:color w:val="1F2937"/>
          <w:sz w:val="22"/>
          <w:szCs w:val="22"/>
        </w:rPr>
        <w:t xml:space="preserve">Share of wallet: what % of customers’ category spend goes to the client vs competitors</w:t>
      </w:r>
    </w:p>
    <w:p>
      <w:pPr>
        <w:pStyle w:val="ListParagraph"/>
        <w:numPr>
          <w:ilvl w:val="0"/>
          <w:numId w:val="2"/>
        </w:numPr>
        <w:spacing w:after="80"/>
      </w:pPr>
      <w:r>
        <w:rPr>
          <w:rFonts w:ascii="Arial" w:cs="Arial" w:eastAsia="Arial" w:hAnsi="Arial"/>
          <w:color w:val="1F2937"/>
          <w:sz w:val="22"/>
          <w:szCs w:val="22"/>
        </w:rPr>
        <w:t xml:space="preserve">Benchmarks: client shown by name, competitors anonymized as Competitor 1, 2, 3</w:t>
      </w:r>
    </w:p>
    <w:p>
      <w:pPr>
        <w:pStyle w:val="ListParagraph"/>
        <w:numPr>
          <w:ilvl w:val="0"/>
          <w:numId w:val="2"/>
        </w:numPr>
        <w:spacing w:after="80"/>
      </w:pPr>
      <w:r>
        <w:rPr>
          <w:rFonts w:ascii="Arial" w:cs="Arial" w:eastAsia="Arial" w:hAnsi="Arial"/>
          <w:color w:val="1F2937"/>
          <w:sz w:val="22"/>
          <w:szCs w:val="22"/>
        </w:rPr>
        <w:t xml:space="preserve">Trends: monthly client spend vs category total</w:t>
      </w:r>
    </w:p>
    <w:p>
      <w:pPr>
        <w:pStyle w:val="ListParagraph"/>
        <w:numPr>
          <w:ilvl w:val="0"/>
          <w:numId w:val="2"/>
        </w:numPr>
        <w:spacing w:after="80"/>
      </w:pPr>
      <w:r>
        <w:rPr>
          <w:rFonts w:ascii="Arial" w:cs="Arial" w:eastAsia="Arial" w:hAnsi="Arial"/>
          <w:color w:val="1F2937"/>
          <w:sz w:val="22"/>
          <w:szCs w:val="22"/>
        </w:rPr>
        <w:t xml:space="preserve">Demographics: who shops in the category by age, gender, income</w:t>
      </w:r>
    </w:p>
    <w:p>
      <w:pPr>
        <w:pStyle w:val="ListParagraph"/>
        <w:numPr>
          <w:ilvl w:val="0"/>
          <w:numId w:val="2"/>
        </w:numPr>
        <w:spacing w:after="80"/>
      </w:pPr>
      <w:r>
        <w:rPr>
          <w:rFonts w:ascii="Arial" w:cs="Arial" w:eastAsia="Arial" w:hAnsi="Arial"/>
          <w:color w:val="1F2937"/>
          <w:sz w:val="22"/>
          <w:szCs w:val="22"/>
        </w:rPr>
        <w:t xml:space="preserve">Geography: province and municipality spend concentration</w:t>
      </w:r>
    </w:p>
    <w:p>
      <w:r>
        <w:br w:type="page"/>
      </w:r>
    </w:p>
    <w:p>
      <w:pPr>
        <w:pStyle w:val="Heading1"/>
      </w:pPr>
      <w:r>
        <w:rPr>
          <w:rFonts w:ascii="Arial" w:cs="Arial" w:eastAsia="Arial" w:hAnsi="Arial"/>
        </w:rPr>
        <w:t xml:space="preserve">3. Dashboard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(now)</w:t>
            </w:r>
          </w:p>
        </w:tc>
        <w:tc>
          <w:tcPr>
            <w:tcW w:type="dxa" w:w="312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2 (next)</w:t>
            </w:r>
          </w:p>
        </w:tc>
        <w:tc>
          <w:tcPr>
            <w:tcW w:type="dxa" w:w="312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3 (final)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b/>
                <w:bCs/>
                <w:color w:val="1F2937"/>
                <w:sz w:val="20"/>
                <w:szCs w:val="20"/>
              </w:rPr>
              <w:t xml:space="preserve">Streamlit prototype</w:t>
            </w:r>
          </w:p>
          <w:p>
            <w:pPr>
              <w:spacing w:after="40"/>
            </w:pPr>
            <w:r>
              <w:rPr>
                <w:rFonts w:ascii="Arial" w:cs="Arial" w:eastAsia="Arial" w:hAnsi="Arial"/>
                <w:color w:val="1F2937"/>
                <w:sz w:val="20"/>
                <w:szCs w:val="20"/>
              </w:rPr>
              <w:t xml:space="preserve">• All 12 views built</w:t>
            </w:r>
          </w:p>
          <w:p>
            <w:pPr>
              <w:spacing w:after="40"/>
            </w:pPr>
            <w:r>
              <w:rPr>
                <w:rFonts w:ascii="Arial" w:cs="Arial" w:eastAsia="Arial" w:hAnsi="Arial"/>
                <w:color w:val="1F2937"/>
                <w:sz w:val="20"/>
                <w:szCs w:val="20"/>
              </w:rPr>
              <w:t xml:space="preserve">• Data validated end-to-end</w:t>
            </w:r>
          </w:p>
          <w:p>
            <w:pPr>
              <w:spacing w:after="0"/>
            </w:pPr>
            <w:r>
              <w:rPr>
                <w:rFonts w:ascii="Arial" w:cs="Arial" w:eastAsia="Arial" w:hAnsi="Arial"/>
                <w:color w:val="1F2937"/>
                <w:sz w:val="20"/>
                <w:szCs w:val="20"/>
              </w:rPr>
              <w:t xml:space="preserve">• Iterate with stakeholders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b/>
                <w:bCs/>
                <w:color w:val="1F2937"/>
                <w:sz w:val="20"/>
                <w:szCs w:val="20"/>
              </w:rPr>
              <w:t xml:space="preserve">Stakeholder sign-off</w:t>
            </w:r>
          </w:p>
          <w:p>
            <w:pPr>
              <w:spacing w:after="40"/>
            </w:pPr>
            <w:r>
              <w:rPr>
                <w:rFonts w:ascii="Arial" w:cs="Arial" w:eastAsia="Arial" w:hAnsi="Arial"/>
                <w:color w:val="1F2937"/>
                <w:sz w:val="20"/>
                <w:szCs w:val="20"/>
              </w:rPr>
              <w:t xml:space="preserve">• “These 8 views matter”</w:t>
            </w:r>
          </w:p>
          <w:p>
            <w:pPr>
              <w:spacing w:after="40"/>
            </w:pPr>
            <w:r>
              <w:rPr>
                <w:rFonts w:ascii="Arial" w:cs="Arial" w:eastAsia="Arial" w:hAnsi="Arial"/>
                <w:color w:val="1F2937"/>
                <w:sz w:val="20"/>
                <w:szCs w:val="20"/>
              </w:rPr>
              <w:t xml:space="preserve">• “Change X, add Y”</w:t>
            </w:r>
          </w:p>
          <w:p>
            <w:pPr>
              <w:spacing w:after="0"/>
            </w:pPr>
            <w:r>
              <w:rPr>
                <w:rFonts w:ascii="Arial" w:cs="Arial" w:eastAsia="Arial" w:hAnsi="Arial"/>
                <w:color w:val="1F2937"/>
                <w:sz w:val="20"/>
                <w:szCs w:val="20"/>
              </w:rPr>
              <w:t xml:space="preserve">• “This is ready”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b/>
                <w:bCs/>
                <w:color w:val="1F2937"/>
                <w:sz w:val="20"/>
                <w:szCs w:val="20"/>
              </w:rPr>
              <w:t xml:space="preserve">Looker Studio build</w:t>
            </w:r>
          </w:p>
          <w:p>
            <w:pPr>
              <w:spacing w:after="40"/>
            </w:pPr>
            <w:r>
              <w:rPr>
                <w:rFonts w:ascii="Arial" w:cs="Arial" w:eastAsia="Arial" w:hAnsi="Arial"/>
                <w:color w:val="1F2937"/>
                <w:sz w:val="20"/>
                <w:szCs w:val="20"/>
              </w:rPr>
              <w:t xml:space="preserve">• Brand-compliant</w:t>
            </w:r>
          </w:p>
          <w:p>
            <w:pPr>
              <w:spacing w:after="40"/>
            </w:pPr>
            <w:r>
              <w:rPr>
                <w:rFonts w:ascii="Arial" w:cs="Arial" w:eastAsia="Arial" w:hAnsi="Arial"/>
                <w:color w:val="1F2937"/>
                <w:sz w:val="20"/>
                <w:szCs w:val="20"/>
              </w:rPr>
              <w:t xml:space="preserve">• Creative team styles</w:t>
            </w:r>
          </w:p>
          <w:p>
            <w:pPr>
              <w:spacing w:after="0"/>
            </w:pPr>
            <w:r>
              <w:rPr>
                <w:rFonts w:ascii="Arial" w:cs="Arial" w:eastAsia="Arial" w:hAnsi="Arial"/>
                <w:color w:val="1F2937"/>
                <w:sz w:val="20"/>
                <w:szCs w:val="20"/>
              </w:rPr>
              <w:t xml:space="preserve">• Client-facing pitch decks</w:t>
            </w:r>
          </w:p>
        </w:tc>
      </w:tr>
    </w:tbl>
    <w:p>
      <w:pPr>
        <w:spacing w:after="200"/>
      </w:pPr>
    </w:p>
    <w:p>
      <w:pPr>
        <w:spacing w:after="160"/>
      </w:pPr>
      <w:r>
        <w:rPr>
          <w:rFonts w:ascii="Arial" w:cs="Arial" w:eastAsia="Arial" w:hAnsi="Arial"/>
          <w:color w:val="1F2937"/>
          <w:sz w:val="22"/>
          <w:szCs w:val="22"/>
        </w:rPr>
        <w:t xml:space="preserve">The Streamlit dashboard is a development and feedback tool only. The final client-facing dashboard will be built in Looker Studio, where the creative team can own fonts, colors, and branding for pitch decks.</w:t>
      </w:r>
    </w:p>
    <w:p>
      <w:pPr>
        <w:pStyle w:val="Heading1"/>
      </w:pPr>
      <w:r>
        <w:rPr>
          <w:rFonts w:ascii="Arial" w:cs="Arial" w:eastAsia="Arial" w:hAnsi="Arial"/>
        </w:rPr>
        <w:t xml:space="preserve">4. What’s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800"/>
        <w:gridCol w:w="1800"/>
      </w:tblGrid>
      <w:tr>
        <w:tc>
          <w:tcPr>
            <w:tcW w:type="dxa" w:w="2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1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1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Incremental loads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Only process new data each run, not the full 2.2B rows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~90% cost reduction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1 week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SQL anonymization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Move competitor anonymization from app into database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Security + Looker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2 days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Looker Studio</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Build final client-facing views from the prototype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Team standard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2 weeks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Dataform migration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Replace bash scripts with BigQuery’s native orchestration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Scheduling + testing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1 week</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POPIA compliance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Data classification tags, row-level security policies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Legal requirement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1 week</w:t>
            </w:r>
          </w:p>
        </w:tc>
      </w:tr>
    </w:tbl>
    <w:p>
      <w:pPr>
        <w:pStyle w:val="Heading1"/>
      </w:pPr>
      <w:r>
        <w:rPr>
          <w:rFonts w:ascii="Arial" w:cs="Arial" w:eastAsia="Arial" w:hAnsi="Arial"/>
        </w:rPr>
        <w:t xml:space="preserve">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Raw transactions processed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2,237,540,286</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Customers profiled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7,257,025</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Customers segmented by ML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5,789,281</w:t>
            </w:r>
          </w:p>
        </w:tc>
      </w:tr>
      <w:tr>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color w:val="1F2937"/>
                <w:sz w:val="20"/>
                <w:szCs w:val="20"/>
              </w:rPr>
              <w:t xml:space="preserve">Customers scored for churn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Arial" w:cs="Arial" w:eastAsia="Arial" w:hAnsi="Arial"/>
                <w:b/>
                <w:bCs/>
                <w:color w:val="1F2937"/>
                <w:sz w:val="20"/>
                <w:szCs w:val="20"/>
              </w:rPr>
              <w:t xml:space="preserve">5,531,237</w:t>
            </w:r>
          </w:p>
        </w:tc>
      </w:tr>
      <w:t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1F2937"/>
                <w:sz w:val="20"/>
                <w:szCs w:val="20"/>
              </w:rPr>
              <w:t xml:space="preserve">Destinations benchmarked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F2937"/>
                <w:sz w:val="20"/>
                <w:szCs w:val="20"/>
              </w:rPr>
              <w:t xml:space="preserve">14,536</w:t>
            </w:r>
          </w:p>
        </w:tc>
      </w:tr>
    </w:tbl>
    <w:p>
      <w:pPr>
        <w:pStyle w:val="Heading1"/>
      </w:pPr>
      <w:r>
        <w:rPr>
          <w:rFonts w:ascii="Arial" w:cs="Arial" w:eastAsia="Arial" w:hAnsi="Arial"/>
        </w:rPr>
        <w:t xml:space="preserve">6. Technical summary</w:t>
      </w:r>
    </w:p>
    <w:p>
      <w:pPr>
        <w:spacing w:after="160"/>
      </w:pPr>
      <w:r>
        <w:rPr>
          <w:rFonts w:ascii="Arial" w:cs="Arial" w:eastAsia="Arial" w:hAnsi="Arial"/>
          <w:color w:val="1F2937"/>
          <w:sz w:val="22"/>
          <w:szCs w:val="22"/>
        </w:rPr>
        <w:t xml:space="preserve">The solution is a four-layer SQL pipeline (staging → features → ML → dashboard tables) running on Google BigQuery in the fmn-sandbox project, africa-south1 region. Two BigQuery ML models are trained in-warehouse: k-means clustering for customer segmentation and logistic regression for churn prediction. All tables are partitioned and clustered for cost efficiency. Infrastructure is managed by Terraform (one-command teardown). The pipeline runs via a single shell script with step-by-step execution. Four Jupyter notebooks provide interactive exploration for the analytics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rFonts w:ascii="Arial" w:cs="Arial" w:eastAsia="Arial" w:hAnsi="Arial"/>
        <w:color w:val="6B7280"/>
        <w:sz w:val="16"/>
        <w:szCs w:val="16"/>
      </w:rPr>
      <w:t xml:space="preserve">Prosper Sikhwari | March 2026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8"/>
      </w:pBdr>
      <w:tabs>
        <w:tab w:val="right" w:pos="9026"/>
      </w:tabs>
    </w:pPr>
    <w:r>
      <w:rPr>
        <w:rFonts w:ascii="Arial" w:cs="Arial" w:eastAsia="Arial" w:hAnsi="Arial"/>
        <w:color w:val="6B7280"/>
        <w:sz w:val="18"/>
        <w:szCs w:val="18"/>
      </w:rPr>
      <w:t xml:space="preserve">FNB NAV — Solution Overview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2026-03-16T14:27:53.381Z</dcterms:created>
  <dcterms:modified xsi:type="dcterms:W3CDTF">2026-03-16T14:27:53.382Z</dcterms:modified>
</cp:coreProperties>
</file>

<file path=docProps/custom.xml><?xml version="1.0" encoding="utf-8"?>
<Properties xmlns="http://schemas.openxmlformats.org/officeDocument/2006/custom-properties" xmlns:vt="http://schemas.openxmlformats.org/officeDocument/2006/docPropsVTypes"/>
</file>