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48"/>
          <w:szCs w:val="48"/>
        </w:rPr>
        <w:t xml:space="preserve">FNB NAV Data Platform</w:t>
      </w:r>
    </w:p>
    <w:p>
      <w:pPr>
        <w:spacing w:after="200"/>
        <w:jc w:val="center"/>
      </w:pPr>
      <w:r>
        <w:rPr>
          <w:rFonts w:ascii="Arial" w:cs="Arial" w:eastAsia="Arial" w:hAnsi="Arial"/>
          <w:color w:val="1F2937"/>
          <w:sz w:val="32"/>
          <w:szCs w:val="32"/>
        </w:rPr>
        <w:t xml:space="preserve">Technical Architecture</w:t>
      </w:r>
    </w:p>
    <w:p>
      <w:pPr>
        <w:spacing w:after="120"/>
        <w:jc w:val="center"/>
      </w:pPr>
      <w:r>
        <w:rPr>
          <w:rFonts w:ascii="Arial" w:cs="Arial" w:eastAsia="Arial" w:hAnsi="Arial"/>
          <w:color w:val="6B7280"/>
          <w:sz w:val="24"/>
          <w:szCs w:val="24"/>
        </w:rPr>
        <w:t xml:space="preserve">Implementation trade-offs: SQL pipeline vs Dataform</w:t>
      </w:r>
    </w:p>
    <w:p>
      <w:pPr>
        <w:spacing w:before="1800"/>
      </w:pPr>
    </w:p>
    <w:p>
      <w:pPr>
        <w:jc w:val="center"/>
      </w:pPr>
      <w:r>
        <w:rPr>
          <w:rFonts w:ascii="Arial" w:cs="Arial" w:eastAsia="Arial" w:hAnsi="Arial"/>
          <w:color w:val="6B7280"/>
          <w:sz w:val="22"/>
          <w:szCs w:val="22"/>
        </w:rPr>
        <w:t xml:space="preserve">Prosper Sikhwari  |  March 2026  |  Internal</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200"/>
              <w:bottom w:type="dxa" w:w="120"/>
              <w:right w:type="dxa" w:w="200"/>
            </w:tcMar>
          </w:tcPr>
          <w:p>
            <w:r>
              <w:rPr>
                <w:rFonts w:ascii="Arial" w:cs="Arial" w:eastAsia="Arial" w:hAnsi="Arial"/>
                <w:color w:val="1F2937"/>
                <w:sz w:val="20"/>
                <w:szCs w:val="20"/>
              </w:rPr>
              <w:t xml:space="preserve">Note on version control and data security: No shared or public repositories have been provisioned for this project. All source code is managed via local Git on the developer’s machine using VS Code. No data, credentials, PII, or proprietary information is stored externally. The repository contains only SQL scripts, Python application code, Terraform configuration, Jupyter notebooks, and documentation — zero data files. When an internal repository is provisioned, the codebase can be migrated with a single command.</w:t>
            </w:r>
          </w:p>
        </w:tc>
      </w:tr>
    </w:tbl>
    <w:p>
      <w:pPr>
        <w:spacing w:after="200"/>
      </w:pPr>
    </w:p>
    <w:p>
      <w:pPr>
        <w:pBdr>
          <w:bottom w:val="single" w:color="2E75B6" w:sz="6" w:space="8"/>
        </w:pBdr>
        <w:spacing w:after="200"/>
      </w:pPr>
      <w:r>
        <w:rPr>
          <w:rFonts w:ascii="Arial" w:cs="Arial" w:eastAsia="Arial" w:hAnsi="Arial"/>
          <w:b/>
          <w:bCs/>
          <w:color w:val="2E75B6"/>
          <w:sz w:val="36"/>
          <w:szCs w:val="36"/>
        </w:rPr>
        <w:t xml:space="preserve">TL;DR</w:t>
      </w:r>
    </w:p>
    <w:p>
      <w:pPr>
        <w:spacing w:after="160"/>
      </w:pPr>
      <w:r>
        <w:rPr>
          <w:rFonts w:ascii="Arial" w:cs="Arial" w:eastAsia="Arial" w:hAnsi="Arial"/>
          <w:color w:val="1F2937"/>
          <w:sz w:val="22"/>
          <w:szCs w:val="22"/>
        </w:rPr>
        <w:t xml:space="preserve">Full analytics pipeline on BigQuery: 2.2 billion transactions, 7.2 million customers, two ML models (k-means segmentation with Davies-Bouldin 1.29, logistic regression churn with 83% accuracy), 12-page dashboard with client dropdown and auto-anonymization. Streamlit is for dev/feedback only — final dashboard in Looker Studio. Dataform migration is ~25 hours when ready.</w:t>
      </w:r>
    </w:p>
    <w:p>
      <w:pPr>
        <w:pStyle w:val="Heading1"/>
      </w:pPr>
      <w:r>
        <w:rPr>
          <w:rFonts w:ascii="Arial" w:cs="Arial" w:eastAsia="Arial" w:hAnsi="Arial"/>
        </w:rPr>
        <w:t xml:space="preserve">1. Pipeline architecture</w:t>
      </w:r>
    </w:p>
    <w:p>
      <w:pPr>
        <w:spacing w:after="160"/>
      </w:pPr>
      <w:r>
        <w:rPr>
          <w:rFonts w:ascii="Arial" w:cs="Arial" w:eastAsia="Arial" w:hAnsi="Arial"/>
          <w:color w:val="1F2937"/>
          <w:sz w:val="22"/>
          <w:szCs w:val="22"/>
        </w:rPr>
        <w:t xml:space="preserve">Four-layer medallion architecture, executed sequentially: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Tables</w:t>
            </w:r>
          </w:p>
        </w:tc>
        <w:tc>
          <w:tcPr>
            <w:tcW w:type="dxa" w:w="26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01_staging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stg_transactions, stg_customers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Clean, join lookups, strip PII, rename fields</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Partitioned by month, clustered by category + destination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02_intermediate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int_rfm_features, int_rfm_scores, int_customer_category_spend, int_destination_metrics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RFM features, quintile scores, spend share, destination KPIs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Share-of-wallet per customer × category × destination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03_ml</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kmeans_customer_segments (MODEL), churn_classifier (MODEL), mart_cluster_output, mart_churn_risk</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K-means (k=5), logistic regression churn</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BigQuery ML: in-warehouse training and inference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04_marts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8 dashboard-ready tables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Profiles, summaries, trends, benchmarks, geo, demographics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Dashboard reads from marts only</w:t>
            </w:r>
          </w:p>
        </w:tc>
      </w:tr>
    </w:tbl>
    <w:p>
      <w:pPr>
        <w:pStyle w:val="Heading1"/>
      </w:pPr>
      <w:r>
        <w:rPr>
          <w:rFonts w:ascii="Arial" w:cs="Arial" w:eastAsia="Arial" w:hAnsi="Arial"/>
        </w:rPr>
        <w:t xml:space="preserve">2. Execution model</w:t>
      </w:r>
    </w:p>
    <w:p>
      <w:pPr>
        <w:spacing w:after="160"/>
      </w:pPr>
      <w:r>
        <w:rPr>
          <w:rFonts w:ascii="Arial" w:cs="Arial" w:eastAsia="Arial" w:hAnsi="Arial"/>
          <w:color w:val="1F2937"/>
          <w:sz w:val="22"/>
          <w:szCs w:val="22"/>
        </w:rPr>
        <w:t xml:space="preserve">Step-by-step with environment selection:</w:t>
      </w:r>
    </w:p>
    <w:p>
      <w:pPr>
        <w:shd w:fill="F3F4F6" w:val="clear"/>
        <w:spacing w:after="80"/>
        <w:ind w:left="360" w:right="360"/>
      </w:pPr>
      <w:r>
        <w:rPr>
          <w:rFonts w:ascii="Courier New" w:cs="Courier New" w:eastAsia="Courier New" w:hAnsi="Courier New"/>
          <w:color w:val="1F2937"/>
          <w:sz w:val="18"/>
          <w:szCs w:val="18"/>
        </w:rPr>
        <w:t xml:space="preserve">bash scripts/run.sh sandbox          → all steps on fmn-sandbox</w:t>
      </w:r>
    </w:p>
    <w:p>
      <w:pPr>
        <w:shd w:fill="F3F4F6" w:val="clear"/>
        <w:spacing w:after="80"/>
        <w:ind w:left="360" w:right="360"/>
      </w:pPr>
      <w:r>
        <w:rPr>
          <w:rFonts w:ascii="Courier New" w:cs="Courier New" w:eastAsia="Courier New" w:hAnsi="Courier New"/>
          <w:color w:val="1F2937"/>
          <w:sz w:val="18"/>
          <w:szCs w:val="18"/>
        </w:rPr>
        <w:t xml:space="preserve">bash scripts/run.sh production 3     → step 3 on fmn-production</w:t>
      </w:r>
    </w:p>
    <w:p>
      <w:pPr>
        <w:shd w:fill="F3F4F6" w:val="clear"/>
        <w:spacing w:after="80"/>
        <w:ind w:left="360" w:right="360"/>
      </w:pPr>
      <w:r>
        <w:rPr>
          <w:rFonts w:ascii="Courier New" w:cs="Courier New" w:eastAsia="Courier New" w:hAnsi="Courier New"/>
          <w:color w:val="1F2937"/>
          <w:sz w:val="18"/>
          <w:szCs w:val="18"/>
        </w:rPr>
        <w:t xml:space="preserve">bash scripts/run.sh sandbox 1        → step 1 on fmn-sandbox</w:t>
      </w:r>
    </w:p>
    <w:p>
      <w:pPr>
        <w:spacing w:after="160"/>
      </w:pPr>
      <w:r>
        <w:rPr>
          <w:rFonts w:ascii="Arial" w:cs="Arial" w:eastAsia="Arial" w:hAnsi="Arial"/>
          <w:color w:val="1F2937"/>
          <w:sz w:val="22"/>
          <w:szCs w:val="22"/>
        </w:rPr>
        <w:t xml:space="preserve">SQL files use a __PROJECT__ placeholder. The runner substitutes the actual project ID at runtime — same code targets sandbox or production.</w:t>
      </w:r>
    </w:p>
    <w:p>
      <w:pPr>
        <w:pStyle w:val="Heading1"/>
      </w:pPr>
      <w:r>
        <w:rPr>
          <w:rFonts w:ascii="Arial" w:cs="Arial" w:eastAsia="Arial" w:hAnsi="Arial"/>
        </w:rPr>
        <w:t xml:space="preserve">3. ML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400"/>
        <w:gridCol w:w="2360"/>
      </w:tblGrid>
      <w:tr>
        <w:tc>
          <w:tcPr>
            <w:tcW w:type="dxa" w:w="22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14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c>
          <w:tcPr>
            <w:tcW w:type="dxa" w:w="23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Customer segmentation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K-means (unsupervised)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9 RFM behavioral features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Davies-Bouldin: 1.295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5 segments: Champions → Dormant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Churn prediction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Logistic regression (supervised)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15 features (behavioral + demographic)</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Accuracy: 0.831, F1: 0.556</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Probability score per customer (0–100%)</w:t>
            </w:r>
          </w:p>
        </w:tc>
      </w:tr>
    </w:tbl>
    <w:p>
      <w:pPr>
        <w:spacing w:after="160"/>
      </w:pPr>
      <w:r>
        <w:rPr>
          <w:rFonts w:ascii="Arial" w:cs="Arial" w:eastAsia="Arial" w:hAnsi="Arial"/>
          <w:color w:val="1F2937"/>
          <w:sz w:val="22"/>
          <w:szCs w:val="22"/>
        </w:rPr>
        <w:t xml:space="preserve">Both models run inside BigQuery ML (in-warehouse). No data egress, no external compute. The churn model uses logistic regression because boosted tree classifiers are not yet supported in the africa-south1 region.</w:t>
      </w:r>
    </w:p>
    <w:p>
      <w:pPr>
        <w:pStyle w:val="Heading1"/>
      </w:pPr>
      <w:r>
        <w:rPr>
          <w:rFonts w:ascii="Arial" w:cs="Arial" w:eastAsia="Arial" w:hAnsi="Arial"/>
        </w:rPr>
        <w:t xml:space="preserve">4. Dashboard strategy</w:t>
      </w:r>
    </w:p>
    <w:p>
      <w:pPr>
        <w:spacing w:after="160"/>
      </w:pPr>
      <w:r>
        <w:rPr>
          <w:rFonts w:ascii="Arial" w:cs="Arial" w:eastAsia="Arial" w:hAnsi="Arial"/>
          <w:b/>
          <w:bCs/>
          <w:color w:val="1F2937"/>
          <w:sz w:val="22"/>
          <w:szCs w:val="22"/>
        </w:rPr>
        <w:t xml:space="preserve">Streamlit is the development and feedback tool. </w:t>
      </w:r>
      <w:r>
        <w:rPr>
          <w:rFonts w:ascii="Arial" w:cs="Arial" w:eastAsia="Arial" w:hAnsi="Arial"/>
          <w:color w:val="1F2937"/>
          <w:sz w:val="22"/>
          <w:szCs w:val="22"/>
        </w:rPr>
        <w:t xml:space="preserve">Looker Studio is the final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1: Streamlit (now)</w:t>
            </w:r>
          </w:p>
        </w:tc>
        <w:tc>
          <w:tcPr>
            <w:tcW w:type="dxa" w:w="312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2: Sign-off</w:t>
            </w:r>
          </w:p>
        </w:tc>
        <w:tc>
          <w:tcPr>
            <w:tcW w:type="dxa" w:w="312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3: Looker Studio</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12 draft pages, git-controlled, iterate in real-time with stakeholders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Stakeholders confirm which views, metrics, and filters matter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Brand-compliant, creative team owns styling, client-facing pitch decks</w:t>
            </w:r>
          </w:p>
        </w:tc>
      </w:tr>
    </w:tbl>
    <w:p>
      <w:pPr>
        <w:spacing w:after="160"/>
      </w:pPr>
      <w:r>
        <w:rPr>
          <w:rFonts w:ascii="Arial" w:cs="Arial" w:eastAsia="Arial" w:hAnsi="Arial"/>
          <w:color w:val="1F2937"/>
          <w:sz w:val="22"/>
          <w:szCs w:val="22"/>
        </w:rPr>
        <w:t xml:space="preserve">The ROI Simulator (which requires sliders and live calculations) may remain as a Streamlit micro-frontend embedded via iframe, since Looker Studio’s native interactivity is limited.</w:t>
      </w:r>
    </w:p>
    <w:p>
      <w:pPr>
        <w:spacing w:after="160"/>
      </w:pPr>
      <w:r>
        <w:rPr>
          <w:rFonts w:ascii="Arial" w:cs="Arial" w:eastAsia="Arial" w:hAnsi="Arial"/>
          <w:color w:val="1F2937"/>
          <w:sz w:val="22"/>
          <w:szCs w:val="22"/>
        </w:rPr>
        <w:t xml:space="preserve">Dashboard targets the project via environment variable: BQ_PROJECT=fmn-production streamlit run dashboards/app.py</w:t>
      </w:r>
    </w:p>
    <w:p>
      <w:r>
        <w:br w:type="page"/>
      </w:r>
    </w:p>
    <w:p>
      <w:pPr>
        <w:pStyle w:val="Heading1"/>
      </w:pPr>
      <w:r>
        <w:rPr>
          <w:rFonts w:ascii="Arial" w:cs="Arial" w:eastAsia="Arial" w:hAnsi="Arial"/>
        </w:rPr>
        <w:t xml:space="preserve">5. Dataform comparison</w:t>
      </w:r>
    </w:p>
    <w:p>
      <w:pPr>
        <w:spacing w:after="160"/>
      </w:pPr>
      <w:r>
        <w:rPr>
          <w:rFonts w:ascii="Arial" w:cs="Arial" w:eastAsia="Arial" w:hAnsi="Arial"/>
          <w:color w:val="1F2937"/>
          <w:sz w:val="22"/>
          <w:szCs w:val="22"/>
        </w:rPr>
        <w:t xml:space="preserve">Dataform is BigQuery’s native transformation framework. Migration is mechanical — every SELECT statement stays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(SQL + bash)</w:t>
            </w:r>
          </w:p>
        </w:tc>
        <w:tc>
          <w:tcPr>
            <w:tcW w:type="dxa" w:w="348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Dataform</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Table creation</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CREATE OR REPLACE in every .sql file</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Dataform generates DDL from config block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Dependencies</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Script execution order (steps 0–5)</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Automatic DAG from ref() calls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Project ID</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__PROJECT__ placeholder, replaced at runtime</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Set once in dataform.json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Incremental</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Custom DECLARE/IF/INSERT per file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Built-in is_incremental() macro</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Testing</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Separate validate.sh script</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Native assertions: uniqueKey, nonNull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Scheduling</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Manual: bash scripts/run.sh</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Built-in cron in GCP console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Documentation</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Separate data_dictionary.md</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Inline descriptions, auto-generated catalog</w:t>
            </w:r>
          </w:p>
        </w:tc>
      </w:tr>
    </w:tbl>
    <w:p>
      <w:pPr>
        <w:pStyle w:val="Heading1"/>
      </w:pPr>
      <w:r>
        <w:rPr>
          <w:rFonts w:ascii="Arial" w:cs="Arial" w:eastAsia="Arial" w:hAnsi="Arial"/>
        </w:rPr>
        <w:t xml:space="preserve">6.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4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SQL + bash</w:t>
            </w:r>
          </w:p>
        </w:tc>
        <w:tc>
          <w:tcPr>
            <w:tcW w:type="dxa" w:w="24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Dataform</w:t>
            </w:r>
          </w:p>
        </w:tc>
        <w:tc>
          <w:tcPr>
            <w:tcW w:type="dxa" w:w="23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mitigation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Partial failure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High: re-run scans all data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Low: DAG retries failed nodes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Manual re-run from failed step</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Cost overrun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High: 2.2B rows scanned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Low: incremental only</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Incremental logic (next phase)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Wrong order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Medium: script enforces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None: ref() enforces DAG</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Step-by-step runner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Data quality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Medium: post-hoc checks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Low: assertions block downstream</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5 checks in validate.sh</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Onboarding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Medium: read run.sh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Low: visual DAG</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README + data dictionary</w:t>
            </w:r>
          </w:p>
        </w:tc>
      </w:tr>
    </w:tbl>
    <w:p>
      <w:pPr>
        <w:pStyle w:val="Heading1"/>
      </w:pPr>
      <w:r>
        <w:rPr>
          <w:rFonts w:ascii="Arial" w:cs="Arial" w:eastAsia="Arial" w:hAnsi="Arial"/>
        </w:rPr>
        <w:t xml:space="preserve">7. Migration path</w:t>
      </w:r>
    </w:p>
    <w:p>
      <w:pPr>
        <w:spacing w:after="160"/>
      </w:pPr>
      <w:r>
        <w:rPr>
          <w:rFonts w:ascii="Arial" w:cs="Arial" w:eastAsia="Arial" w:hAnsi="Arial"/>
          <w:color w:val="1F2937"/>
          <w:sz w:val="22"/>
          <w:szCs w:val="22"/>
        </w:rPr>
        <w:t xml:space="preserve">Estimated effort: ~25 hours. The SELECT logic is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6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6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9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Initialise Dataform repo</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1</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1 hour</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Low</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Convert staging to .sqlx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2</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2 hours</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Low</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Convert intermediate to .sqlx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4</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3 hours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Low</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Convert ML to operations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4</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4 hours</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Medium</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Convert marts to .sqlx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8</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3 hours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Low</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Add assertions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16</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4 hours</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Low</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Add incremental logic</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3</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4 hours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Medium</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Testing + handoff</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All</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4 hours</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Low</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Total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16 files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~25 hours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Low–Medium</w:t>
            </w:r>
          </w:p>
        </w:tc>
      </w:tr>
    </w:tbl>
    <w:p>
      <w:r>
        <w:br w:type="page"/>
      </w:r>
    </w:p>
    <w:p>
      <w:pPr>
        <w:pStyle w:val="Heading1"/>
      </w:pPr>
      <w:r>
        <w:rPr>
          <w:rFonts w:ascii="Arial" w:cs="Arial" w:eastAsia="Arial" w:hAnsi="Arial"/>
        </w:rPr>
        <w:t xml:space="preserve">8. Production results</w:t>
      </w:r>
    </w:p>
    <w:p>
      <w:pPr>
        <w:pStyle w:val="Heading2"/>
      </w:pPr>
      <w:r>
        <w:rPr>
          <w:rFonts w:ascii="Arial" w:cs="Arial" w:eastAsia="Arial" w:hAnsi="Arial"/>
        </w:rPr>
        <w:t xml:space="preserve">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Raw transactions processed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2,237,540,286</w:t>
            </w:r>
          </w:p>
        </w:tc>
      </w:tr>
      <w:tr>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Customers staged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7,257,025</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Customers segmented (k-means)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5,789,281</w:t>
            </w:r>
          </w:p>
        </w:tc>
      </w:tr>
      <w:tr>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Customers scored (churn ML)</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5,531,237</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Customer-category-destination rows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212,809,215</w:t>
            </w:r>
          </w:p>
        </w:tc>
      </w:tr>
      <w:tr>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Destinations benchmarked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14,536</w:t>
            </w:r>
          </w:p>
        </w:tc>
      </w:tr>
    </w:tbl>
    <w:p>
      <w:pPr>
        <w:pStyle w:val="Heading2"/>
      </w:pPr>
      <w:r>
        <w:rPr>
          <w:rFonts w:ascii="Arial" w:cs="Arial" w:eastAsia="Arial" w:hAnsi="Arial"/>
        </w:rPr>
        <w:t xml:space="preserve">ML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K-means segmentation</w:t>
            </w:r>
          </w:p>
        </w:tc>
        <w:tc>
          <w:tcPr>
            <w:tcW w:type="dxa" w:w="31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Churn classifier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Model type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K-means (unsupervised)</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Logistic regression (supervised)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Davies-Bouldin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1.295 (&lt; 2.0 = good)</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N/A</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Accuracy</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N/A</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0.831</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F1 score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N/A</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0.556</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Cluster balance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Largest: 30.1% (&lt; 40%)</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N/A</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Business insight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8.2% of customers drive 44.5% of revenue</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666K at risk = R31.6B spend</w:t>
            </w:r>
          </w:p>
        </w:tc>
      </w:tr>
    </w:tbl>
    <w:p>
      <w:pPr>
        <w:pStyle w:val="Heading1"/>
      </w:pPr>
      <w:r>
        <w:rPr>
          <w:rFonts w:ascii="Arial" w:cs="Arial" w:eastAsia="Arial" w:hAnsi="Arial"/>
        </w:rPr>
        <w:t xml:space="preserve">9. Recommendation</w:t>
      </w:r>
    </w:p>
    <w:p>
      <w:pPr>
        <w:spacing w:after="160"/>
      </w:pPr>
      <w:r>
        <w:rPr>
          <w:rFonts w:ascii="Arial" w:cs="Arial" w:eastAsia="Arial" w:hAnsi="Arial"/>
          <w:color w:val="1F2937"/>
          <w:sz w:val="22"/>
          <w:szCs w:val="22"/>
        </w:rPr>
        <w:t xml:space="preserve">The current SQL + bash implementation is appropriate for the current phase: initial deployment, validation, and stakeholder buy-in.</w:t>
      </w:r>
    </w:p>
    <w:p>
      <w:pPr>
        <w:spacing w:after="160"/>
      </w:pPr>
      <w:r>
        <w:rPr>
          <w:rFonts w:ascii="Arial" w:cs="Arial" w:eastAsia="Arial" w:hAnsi="Arial"/>
          <w:b/>
          <w:bCs/>
          <w:color w:val="1F2937"/>
          <w:sz w:val="22"/>
          <w:szCs w:val="22"/>
        </w:rPr>
        <w:t xml:space="preserve">Dataform migration is recommended as the next phase, </w:t>
      </w:r>
      <w:r>
        <w:rPr>
          <w:rFonts w:ascii="Arial" w:cs="Arial" w:eastAsia="Arial" w:hAnsi="Arial"/>
          <w:color w:val="1F2937"/>
          <w:sz w:val="22"/>
          <w:szCs w:val="22"/>
        </w:rPr>
        <w:t xml:space="preserve">not because the current approach is flawed, but because the pipeline has proven its value and now needs production hardening.</w:t>
      </w:r>
    </w:p>
    <w:p>
      <w:pPr>
        <w:spacing w:after="160"/>
      </w:pPr>
      <w:r>
        <w:rPr>
          <w:rFonts w:ascii="Arial" w:cs="Arial" w:eastAsia="Arial" w:hAnsi="Arial"/>
          <w:color w:val="1F2937"/>
          <w:sz w:val="22"/>
          <w:szCs w:val="22"/>
        </w:rPr>
        <w:t xml:space="preserve">Trigger migration when:</w:t>
      </w:r>
    </w:p>
    <w:p>
      <w:pPr>
        <w:pStyle w:val="ListParagraph"/>
        <w:numPr>
          <w:ilvl w:val="0"/>
          <w:numId w:val="2"/>
        </w:numPr>
        <w:spacing w:after="80"/>
      </w:pPr>
      <w:r>
        <w:rPr>
          <w:rFonts w:ascii="Arial" w:cs="Arial" w:eastAsia="Arial" w:hAnsi="Arial"/>
          <w:color w:val="1F2937"/>
          <w:sz w:val="22"/>
          <w:szCs w:val="22"/>
        </w:rPr>
        <w:t xml:space="preserve">The pipeline needs a recurring schedule (daily/weekly)</w:t>
      </w:r>
    </w:p>
    <w:p>
      <w:pPr>
        <w:pStyle w:val="ListParagraph"/>
        <w:numPr>
          <w:ilvl w:val="0"/>
          <w:numId w:val="2"/>
        </w:numPr>
        <w:spacing w:after="80"/>
      </w:pPr>
      <w:r>
        <w:rPr>
          <w:rFonts w:ascii="Arial" w:cs="Arial" w:eastAsia="Arial" w:hAnsi="Arial"/>
          <w:color w:val="1F2937"/>
          <w:sz w:val="22"/>
          <w:szCs w:val="22"/>
        </w:rPr>
        <w:t xml:space="preserve">A second developer joins the project</w:t>
      </w:r>
    </w:p>
    <w:p>
      <w:pPr>
        <w:pStyle w:val="ListParagraph"/>
        <w:numPr>
          <w:ilvl w:val="0"/>
          <w:numId w:val="2"/>
        </w:numPr>
        <w:spacing w:after="80"/>
      </w:pPr>
      <w:r>
        <w:rPr>
          <w:rFonts w:ascii="Arial" w:cs="Arial" w:eastAsia="Arial" w:hAnsi="Arial"/>
          <w:color w:val="1F2937"/>
          <w:sz w:val="22"/>
          <w:szCs w:val="22"/>
        </w:rPr>
        <w:t xml:space="preserve">BigQuery scan costs exceed threshold due to full refreshes</w:t>
      </w:r>
    </w:p>
    <w:p>
      <w:pPr>
        <w:pStyle w:val="ListParagraph"/>
        <w:numPr>
          <w:ilvl w:val="0"/>
          <w:numId w:val="2"/>
        </w:numPr>
        <w:spacing w:after="80"/>
      </w:pPr>
      <w:r>
        <w:rPr>
          <w:rFonts w:ascii="Arial" w:cs="Arial" w:eastAsia="Arial" w:hAnsi="Arial"/>
          <w:color w:val="1F2937"/>
          <w:sz w:val="22"/>
          <w:szCs w:val="22"/>
        </w:rPr>
        <w:t xml:space="preserve">Dataform access is provisioned for the team</w:t>
      </w:r>
    </w:p>
    <w:p>
      <w:pPr>
        <w:pStyle w:val="Heading1"/>
      </w:pPr>
      <w:r>
        <w:rPr>
          <w:rFonts w:ascii="Arial" w:cs="Arial" w:eastAsia="Arial" w:hAnsi="Arial"/>
        </w:rPr>
        <w:t xml:space="preserve">10.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5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sql/01_staging/ (2 files)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Join lookups, partition, cluster, strip PII, rename demo_*</w:t>
            </w:r>
          </w:p>
        </w:tc>
      </w:tr>
      <w:tr>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sql/02_intermediate/ (4 files)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RFM features, quintile scores, spend share, destination KPIs</w:t>
            </w:r>
          </w:p>
        </w:tc>
      </w:tr>
      <w:tr>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sql/03_ml/ (4 files)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K-means training + predict, churn training + predict</w:t>
            </w:r>
          </w:p>
        </w:tc>
      </w:tr>
      <w:tr>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sql/04_marts/ (8 files)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Dashboard-ready analytical tables</w:t>
            </w:r>
          </w:p>
        </w:tc>
      </w:tr>
      <w:tr>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dashboards/app.py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12-page Streamlit dashboard (dev/feedback only)</w:t>
            </w:r>
          </w:p>
        </w:tc>
      </w:tr>
      <w:tr>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notebooks/ (4 files)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Exploration, features, cluster profiling, client pitch</w:t>
            </w:r>
          </w:p>
        </w:tc>
      </w:tr>
      <w:tr>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terraform/main.tf</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Infrastructure as code (create/destroy)</w:t>
            </w:r>
          </w:p>
        </w:tc>
      </w:tr>
      <w:tr>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scripts/run.sh, validate.sh, deploy.sh</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Pipeline runner, validation, Cloud Run deployment</w:t>
            </w:r>
          </w:p>
        </w:tc>
      </w:tr>
      <w:tr>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docs/ (4 files)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Architecture docs, data dictionary, Word template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8"/>
      </w:pBdr>
      <w:jc w:val="center"/>
    </w:pPr>
    <w:r>
      <w:rPr>
        <w:rFonts w:ascii="Arial" w:cs="Arial" w:eastAsia="Arial" w:hAnsi="Arial"/>
        <w:color w:val="6B7280"/>
        <w:sz w:val="16"/>
        <w:szCs w:val="16"/>
      </w:rPr>
      <w:t xml:space="preserve">Prosper Sikhwari | March 2026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8"/>
      </w:pBdr>
      <w:tabs>
        <w:tab w:val="right" w:pos="9026"/>
      </w:tabs>
    </w:pPr>
    <w:r>
      <w:rPr>
        <w:rFonts w:ascii="Arial" w:cs="Arial" w:eastAsia="Arial" w:hAnsi="Arial"/>
        <w:color w:val="6B7280"/>
        <w:sz w:val="18"/>
        <w:szCs w:val="18"/>
      </w:rPr>
      <w:t xml:space="preserve">FNB NAV — Technical Architecture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2026-03-16T14:27:53.703Z</dcterms:created>
  <dcterms:modified xsi:type="dcterms:W3CDTF">2026-03-16T14:27:53.704Z</dcterms:modified>
</cp:coreProperties>
</file>

<file path=docProps/custom.xml><?xml version="1.0" encoding="utf-8"?>
<Properties xmlns="http://schemas.openxmlformats.org/officeDocument/2006/custom-properties" xmlns:vt="http://schemas.openxmlformats.org/officeDocument/2006/docPropsVTypes"/>
</file>