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远征移动端问题梳理与修改方案</w:t>
      </w:r>
    </w:p>
    <w:p>
      <w:r>
        <w:t>2026 年 10 月 24 日    评审稿    全部问题待实施及复验</w:t>
      </w:r>
    </w:p>
    <w:p>
      <w:r>
        <w:t>本报告逐一整理用户附件中的 10 组截图反馈，结合当前工作区只读核查，给出问题、原因、修改步骤、素材要求和验收条件。优先处理阅读遮挡与反复出现的适配问题，同时统一素材并重做骑乘动画。</w:t>
      </w:r>
    </w:p>
    <w:p>
      <w:r>
        <w:rPr>
          <w:b/>
        </w:rPr>
        <w:t xml:space="preserve">工作边界  </w:t>
      </w:r>
      <w:r>
        <w:t>本次仅新增问题与方案文档。未修改游戏代码、配置、素材或存档，未启动游戏、重新导出安装包或执行推送。附件中的生成、替换等表述在此仅作为后续设计目标。</w:t>
      </w:r>
    </w:p>
    <w:p>
      <w:r>
        <w:rPr>
          <w:b/>
        </w:rPr>
        <w:t xml:space="preserve">证据范围  </w:t>
      </w:r>
      <w:r>
        <w:t>附件为《上下模糊的地方依旧没解决.docx》，含 10 张 1260×2800 截图。当前源码包含既有未提交内容；截图对应的安装包版本、机型、系统栏参数和录屏未知。因此，静态确认与后续真机验收分开记录，不沿用旧报告的完成结论。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762"/>
        <w:gridCol w:w="964"/>
        <w:gridCol w:w="2835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本次结论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登录页上下出现大面积模糊补带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现象确认  待实施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灵宠主体与展示台视觉中心不一致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现象确认  待实施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货币说明应改为四张独立弹出卡片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现象确认  待实施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P04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背包材料混用不同完成度的图标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现象确认  待实施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P05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三枚装备徽章来自通用图标回退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现象确认  待实施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P06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集市入口应呈现清晰的荣誉商城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现象确认  待实施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P07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共鸣机关需要正式场景美术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现象确认  待实施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P08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首页六枚图标需要统一美术语言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现象确认  待实施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P09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古碑鉴宝需要拆分阅读与操作层级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现象确认  待实施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P10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骑乘需要人马一体的连续动画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现象确认  待实施</w:t>
            </w:r>
          </w:p>
        </w:tc>
      </w:tr>
    </w:tbl>
    <w:p>
      <w:pPr>
        <w:spacing w:after="0"/>
      </w:pPr>
    </w:p>
    <w:p>
      <w:r>
        <w:t>P1 表示明显影响阅读、操作辨识或主要观感，建议首轮处理；P2 表示布局与风格改版，可在首轮问题收敛后完成。编号沿用附件截图顺序，便于逐项复测。</w:t>
      </w:r>
    </w:p>
    <w:p>
      <w:r>
        <w:br w:type="page"/>
      </w:r>
    </w:p>
    <w:p>
      <w:pPr>
        <w:pStyle w:val="Heading1"/>
      </w:pPr>
      <w:r>
        <w:t>P01 登录页上下出现大面积模糊补带</w:t>
      </w:r>
    </w:p>
    <w:p>
      <w:r>
        <w:t>P1    关联原图 01    状态 待实施及复验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344600" cy="2988000"/>
            <wp:docPr id="1" name="Picture 1" descr="图 01  用户原截图  原文渲染第 1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46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01  用户原截图  原文渲染第 1 页</w:t>
      </w:r>
    </w:p>
    <w:p>
      <w:r>
        <w:rPr>
          <w:b/>
        </w:rPr>
        <w:t xml:space="preserve">用户诉求  </w:t>
      </w:r>
      <w:r>
        <w:t>上下模糊的地方依旧没有解决。</w:t>
      </w:r>
    </w:p>
    <w:p>
      <w:r>
        <w:rPr>
          <w:b/>
        </w:rPr>
        <w:t xml:space="preserve">可见问题  </w:t>
      </w:r>
      <w:r>
        <w:t>截图中央登录画面清晰，上下是明显模糊、暗化的补带。问题主要发生在长屏剩余区域，并非整页所有文字或素材都失焦。</w:t>
      </w:r>
    </w:p>
    <w:p>
      <w:r>
        <w:rPr>
          <w:b/>
        </w:rPr>
        <w:t xml:space="preserve">原因与证据  </w:t>
      </w:r>
      <w:r>
        <w:t>已确认当前源码的设计原因：480×853 登录原画居中，超出原画的区域由 login_backdrop.png 铺满，并在上下做渐隐。生成脚本把原画缩为 40×71 后模糊、暗化；更换过滤方式无法恢复这些区域的细节。证据 C01。</w:t>
      </w:r>
    </w:p>
    <w:p>
      <w:r>
        <w:rPr>
          <w:b/>
        </w:rPr>
        <w:t xml:space="preserve">修改方案  </w:t>
      </w:r>
      <w:r>
        <w:t>优先补绘与中央场景连续的清晰上下背景，再让背景覆盖全屏，表单与按钮按安全区布局。原图已烘焙按钮框和题字，不能直接等比裁切整图后继续沿用旧点击坐标；须同步重标热点，或将背景、按钮、文本拆层。先做最长屏与短屏两张尺寸稿，再确定扩图范围。</w:t>
      </w:r>
    </w:p>
    <w:p>
      <w:r>
        <w:rPr>
          <w:b/>
        </w:rPr>
        <w:t xml:space="preserve">验收条件  </w:t>
      </w:r>
      <w:r>
        <w:t>同一设备对比修前修后全屏截图，四边无模糊补带、硬接缝和拉伸；账号、密码、显隐按钮、头像、登录和游客入口均与画面吻合。覆盖短屏、长屏、系统栏和软键盘弹起恢复。</w:t>
      </w:r>
    </w:p>
    <w:p>
      <w:r>
        <w:rPr>
          <w:b/>
        </w:rPr>
        <w:t xml:space="preserve">实施注意  </w:t>
      </w:r>
      <w:r>
        <w:t>美术先确认扩图，程序随后更新布局和热点；不以加深渐变掩盖问题。</w:t>
      </w:r>
    </w:p>
    <w:p>
      <w:r>
        <w:br w:type="page"/>
      </w:r>
    </w:p>
    <w:p>
      <w:pPr>
        <w:pStyle w:val="Heading1"/>
      </w:pPr>
      <w:r>
        <w:t>P02 灵宠主体与展示台视觉中心不一致</w:t>
      </w:r>
    </w:p>
    <w:p>
      <w:r>
        <w:t>P1    关联原图 02    状态 待实施及复验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344600" cy="2988000"/>
            <wp:docPr id="2" name="Picture 2" descr="图 02  用户原截图  原文渲染第 2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46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02  用户原截图  原文渲染第 2 页</w:t>
      </w:r>
    </w:p>
    <w:p>
      <w:r>
        <w:rPr>
          <w:b/>
        </w:rPr>
        <w:t xml:space="preserve">用户诉求  </w:t>
      </w:r>
      <w:r>
        <w:t>宠物的位置依旧偏离中心。</w:t>
      </w:r>
    </w:p>
    <w:p>
      <w:r>
        <w:rPr>
          <w:b/>
        </w:rPr>
        <w:t xml:space="preserve">可见问题  </w:t>
      </w:r>
      <w:r>
        <w:t>图鉴中狐狸剪影偏向展示区右下方，身体、底座和阴影缺少共同中心，上方留白过多。未结缘时显示剪影是既有状态，不应直接判为图片缺失。</w:t>
      </w:r>
    </w:p>
    <w:p>
      <w:r>
        <w:rPr>
          <w:b/>
        </w:rPr>
        <w:t xml:space="preserve">原因与证据  </w:t>
      </w:r>
      <w:r>
        <w:t>当前源码分别居中底座控件、宠物画布和阴影。静态测量发现：狐狸图本身几何上基本居中；底座图集裁框宽 1114 像素，有效内容明显左偏，缩放到 200 逻辑像素宽时约偏左 19 像素。这是高可信的错位来源，但仍需绑定实际安装包复现。证据 C02。</w:t>
      </w:r>
    </w:p>
    <w:p>
      <w:r>
        <w:rPr>
          <w:b/>
        </w:rPr>
        <w:t xml:space="preserve">修改方案  </w:t>
      </w:r>
      <w:r>
        <w:t>先修正底座图集裁框或透明留白，再为底座、宠物和阴影共用承重点。每只宠物记录可见范围、脚点、最大展示高度和必要的视觉中心偏移；将整组内容放在可用展示区中央。狐狸、鸟等尾翼占比大的形象需人工校准身体中心，不采用全体统一左移的补丁。</w:t>
      </w:r>
    </w:p>
    <w:p>
      <w:r>
        <w:rPr>
          <w:b/>
        </w:rPr>
        <w:t xml:space="preserve">验收条件  </w:t>
      </w:r>
      <w:r>
        <w:t>10 只灵宠分别检查已结缘与剪影状态，在短屏、原截图比例及原手机上切换。头尾完整，不碰左右箭头与信息区；脚点落台、阴影同轴，切换不跳位。建议锚点误差不超过 2 逻辑像素，视觉中心偏差不超过展示区宽度 2%。</w:t>
      </w:r>
    </w:p>
    <w:p>
      <w:r>
        <w:rPr>
          <w:b/>
        </w:rPr>
        <w:t xml:space="preserve">实施注意  </w:t>
      </w:r>
      <w:r>
        <w:t>美术与程序共同核定锚点；以上容差为建议验收值。</w:t>
      </w:r>
    </w:p>
    <w:p>
      <w:r>
        <w:br w:type="page"/>
      </w:r>
    </w:p>
    <w:p>
      <w:pPr>
        <w:pStyle w:val="Heading1"/>
      </w:pPr>
      <w:r>
        <w:t>P03 货币说明应改为四张独立弹出卡片</w:t>
      </w:r>
    </w:p>
    <w:p>
      <w:r>
        <w:t>P1    关联原图 03    状态 待实施及复验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344600" cy="2988000"/>
            <wp:docPr id="3" name="Picture 3" descr="图 03  用户原截图  原文渲染第 3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46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03  用户原截图  原文渲染第 3 页</w:t>
      </w:r>
    </w:p>
    <w:p>
      <w:r>
        <w:rPr>
          <w:b/>
        </w:rPr>
        <w:t xml:space="preserve">用户诉求  </w:t>
      </w:r>
      <w:r>
        <w:t>四种货币分开说明，最好不要互相切换，采用弹出小卡片，并重做货币图标。</w:t>
      </w:r>
    </w:p>
    <w:p>
      <w:r>
        <w:rPr>
          <w:b/>
        </w:rPr>
        <w:t xml:space="preserve">可见问题  </w:t>
      </w:r>
      <w:r>
        <w:t>当前界面把四币页签、图标、余额和来源用途放在大面积整屏纸面中，内容少而留白多，缺少轻量提示卡的感觉。</w:t>
      </w:r>
    </w:p>
    <w:p>
      <w:r>
        <w:rPr>
          <w:b/>
        </w:rPr>
        <w:t xml:space="preserve">原因与证据  </w:t>
      </w:r>
      <w:r>
        <w:t>CurrencyPanel 当前仍在同一面板建立四个页签，select_currency 切换内容，布局使用几乎全部安全区高度。此前扩大说明页不能满足这次“独立小卡片”的设计诉求。证据 C03。</w:t>
      </w:r>
    </w:p>
    <w:p>
      <w:r>
        <w:rPr>
          <w:b/>
        </w:rPr>
        <w:t xml:space="preserve">修改方案  </w:t>
      </w:r>
      <w:r>
        <w:t>首页点击哪一种货币，就只打开该币卡片。四卡共用一个展示组件，按 currency_id 传入数据，但界面取消跨币页签。卡片只放同套图标、名称、精确余额、简短来源和用途，保留关闭入口；高度随内容增长，达到安全区上限后仅正文滚动。“不互通”按卡片导航解释，不改变经济规则，也不新增兑换或付费系统。</w:t>
      </w:r>
    </w:p>
    <w:p>
      <w:r>
        <w:rPr>
          <w:b/>
        </w:rPr>
        <w:t xml:space="preserve">验收条件  </w:t>
      </w:r>
      <w:r>
        <w:t>四个入口分别打开正确内容，无其他币种切换按钮；关闭后回到原页。余额为 0、大数值和长文时均可读，缩写余额可查看精确值；遮罩阻止底层误触，返回键仅关闭最上层。只读说明不扣币、不跳转消费。</w:t>
      </w:r>
    </w:p>
    <w:p>
      <w:r>
        <w:rPr>
          <w:b/>
        </w:rPr>
        <w:t xml:space="preserve">实施注意  </w:t>
      </w:r>
      <w:r>
        <w:t>四枚货币新图标与 P08 同批定稿；数据继续读取现有货币配置与钱包。</w:t>
      </w:r>
    </w:p>
    <w:p>
      <w:r>
        <w:br w:type="page"/>
      </w:r>
    </w:p>
    <w:p>
      <w:pPr>
        <w:pStyle w:val="Heading1"/>
      </w:pPr>
      <w:r>
        <w:t>P04 背包材料混用不同完成度的图标</w:t>
      </w:r>
    </w:p>
    <w:p>
      <w:r>
        <w:t>P1    关联原图 04    状态 待实施及复验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344600" cy="2988000"/>
            <wp:docPr id="4" name="Picture 4" descr="图 04  用户原截图  原文渲染第 4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46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04  用户原截图  原文渲染第 4 页</w:t>
      </w:r>
    </w:p>
    <w:p>
      <w:r>
        <w:rPr>
          <w:b/>
        </w:rPr>
        <w:t xml:space="preserve">用户诉求  </w:t>
      </w:r>
      <w:r>
        <w:t>补齐材料素材，避免使用不同画风的道具顶替。</w:t>
      </w:r>
    </w:p>
    <w:p>
      <w:r>
        <w:rPr>
          <w:b/>
        </w:rPr>
        <w:t xml:space="preserve">可见问题  </w:t>
      </w:r>
      <w:r>
        <w:t>材料格同时出现细节丰富的像素物件和扁平包裹、信件、票据等简图，部分鱼类还共用同一形象。外框一致，格内物件的材质、轮廓和细节密度差异明显。</w:t>
      </w:r>
    </w:p>
    <w:p>
      <w:r>
        <w:rPr>
          <w:b/>
        </w:rPr>
        <w:t xml:space="preserve">原因与证据  </w:t>
      </w:r>
      <w:r>
        <w:t>已确认部分简图是代码主动选择的 third_act/*.svg，文件存在；四类鱼也明确共用 itm_fish_common。仅凭截图不能把全部问题认定为安装包缺文件。应区分资源未制作、映射遗漏、主动占位和导出缺失四类。证据 C04。</w:t>
      </w:r>
    </w:p>
    <w:p>
      <w:r>
        <w:rPr>
          <w:b/>
        </w:rPr>
        <w:t xml:space="preserve">修改方案  </w:t>
      </w:r>
      <w:r>
        <w:t>建立以物品 ID 为主键的素材清单，逐项列出现用路径、截图、目标形象、是否允许共用和完成状态。优先补齐包裹、信件、印章、记录类等明显简图；以现有成熟像素道具为参考，统一材质、光向、轮廓与占格比例。鱼类若需辨识品种，再补独立图，不用改名或数据替换来掩盖缺图。</w:t>
      </w:r>
    </w:p>
    <w:p>
      <w:r>
        <w:rPr>
          <w:b/>
        </w:rPr>
        <w:t xml:space="preserve">验收条件  </w:t>
      </w:r>
      <w:r>
        <w:t>实际背包、奖励、兑换和物品详情中的同 ID 形象一致。清单内每项能定位到正式资源，风格占位逐项关闭；真实加载失败单列检查导出资源。数量、堆叠、分类和用途保持原规则。</w:t>
      </w:r>
    </w:p>
    <w:p>
      <w:r>
        <w:rPr>
          <w:b/>
        </w:rPr>
        <w:t xml:space="preserve">实施注意  </w:t>
      </w:r>
      <w:r>
        <w:t>先完成盘点再排美术批次，避免重复生成已有可用资产。</w:t>
      </w:r>
    </w:p>
    <w:p>
      <w:r>
        <w:br w:type="page"/>
      </w:r>
    </w:p>
    <w:p>
      <w:pPr>
        <w:pStyle w:val="Heading1"/>
      </w:pPr>
      <w:r>
        <w:t>P05 三枚装备徽章来自通用图标回退</w:t>
      </w:r>
    </w:p>
    <w:p>
      <w:r>
        <w:t>P1    关联原图 05    状态 待实施及复验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344600" cy="2988000"/>
            <wp:docPr id="5" name="Picture 5" descr="图 05  用户原截图  原文渲染第 5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46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05  用户原截图  原文渲染第 5 页</w:t>
      </w:r>
    </w:p>
    <w:p>
      <w:r>
        <w:rPr>
          <w:b/>
        </w:rPr>
        <w:t xml:space="preserve">用户诉求  </w:t>
      </w:r>
      <w:r>
        <w:t>确认三件外观不同的装备是否属于品质差异；若不是，统一表现。</w:t>
      </w:r>
    </w:p>
    <w:p>
      <w:r>
        <w:rPr>
          <w:b/>
        </w:rPr>
        <w:t xml:space="preserve">可见问题  </w:t>
      </w:r>
      <w:r>
        <w:t>第二行第一格的剑、第三行第一格的胸甲、第三行第三格的戒指呈徽章样式，其余多为完整物件；这些格的品质下沿同为紫色。</w:t>
      </w:r>
    </w:p>
    <w:p>
      <w:r>
        <w:rPr>
          <w:b/>
        </w:rPr>
        <w:t xml:space="preserve">原因与证据  </w:t>
      </w:r>
      <w:r>
        <w:t>已确认不是以这种画风表达不同品质。当前 50 个装备模板有 6 个未接入专属图集映射，ReviewFixUI.item 回退到模板通用槽位图。剑、甲、饰品的通用图是徽章，枪、杖、锤的通用图仍是物件，因此截图只突出三枚异样。6 项模板当前 rarity 均为 4。证据 C05。</w:t>
      </w:r>
    </w:p>
    <w:p>
      <w:r>
        <w:rPr>
          <w:b/>
        </w:rPr>
        <w:t xml:space="preserve">修改方案  </w:t>
      </w:r>
      <w:r>
        <w:t>逐项核对六个模板是否已有可复用正式资产；有则补映射，没有再补绘。六项为陨星破阵重剑、朔风贯影长枪、凝霜观星法杖、破晓圣辉战锤、远征戍卫重铠、穿杨听风扳指，准确 ID 见素材清单。统一物件角度、占格和光向，品质继续由现有边框与角标表示，不以另一套绘画风格表示稀有度。</w:t>
      </w:r>
    </w:p>
    <w:p>
      <w:r>
        <w:rPr>
          <w:b/>
        </w:rPr>
        <w:t xml:space="preserve">验收条件  </w:t>
      </w:r>
      <w:r>
        <w:t>六项均不再落入通用槽位图回退；背包、穿戴、掉落、商店和详情中图标一致。品质名、边框、强化级、锁定标记仍正确；核查空容量格和真正缺图的已持有物品仍可区分。</w:t>
      </w:r>
    </w:p>
    <w:p>
      <w:r>
        <w:rPr>
          <w:b/>
        </w:rPr>
        <w:t xml:space="preserve">实施注意  </w:t>
      </w:r>
      <w:r>
        <w:t>缺少的是专属映射覆盖，不能据此断言六个图片文件完全不存在。</w:t>
      </w:r>
    </w:p>
    <w:p>
      <w:r>
        <w:br w:type="page"/>
      </w:r>
    </w:p>
    <w:p>
      <w:pPr>
        <w:pStyle w:val="Heading1"/>
      </w:pPr>
      <w:r>
        <w:t>P06 集市入口应呈现清晰的荣誉商城</w:t>
      </w:r>
    </w:p>
    <w:p>
      <w:r>
        <w:t>P2    关联原图 06    状态 待实施及复验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344600" cy="2988000"/>
            <wp:docPr id="6" name="Picture 6" descr="图 06  用户原截图  原文渲染第 7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46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06  用户原截图  原文渲染第 7 页</w:t>
      </w:r>
    </w:p>
    <w:p>
      <w:r>
        <w:rPr>
          <w:b/>
        </w:rPr>
        <w:t xml:space="preserve">用户诉求  </w:t>
      </w:r>
      <w:r>
        <w:t>集市希望做成商城的感觉。</w:t>
      </w:r>
    </w:p>
    <w:p>
      <w:r>
        <w:rPr>
          <w:b/>
        </w:rPr>
        <w:t xml:space="preserve">可见问题  </w:t>
      </w:r>
      <w:r>
        <w:t>配图标题为“演武补给”，主体是五条横向兑换行和大片空白。当前首页“集市”确实打开这个荣誉兑换页，因此应以该入口改版，而非误改城内金币物资铺。</w:t>
      </w:r>
    </w:p>
    <w:p>
      <w:r>
        <w:rPr>
          <w:b/>
        </w:rPr>
        <w:t xml:space="preserve">原因与证据  </w:t>
      </w:r>
      <w:r>
        <w:t>首页 TownHome 的集市入口经 GameHome._open_exchange 打开 ExchangePanel；城内另一商店才使用 ShopPanel。ExchangePanel 当前按单列固定行展示 data/exchange.json。证据 C06。</w:t>
      </w:r>
    </w:p>
    <w:p>
      <w:r>
        <w:rPr>
          <w:b/>
        </w:rPr>
        <w:t xml:space="preserve">修改方案  </w:t>
      </w:r>
      <w:r>
        <w:t>将现有荣誉兑换页改为商品卡商城：顶部放名称、荣誉余额和来源提示，主体采用可滚动商品区；以两列为首选，窄屏退为单列。每卡展示统一图标、名称、数量、荣誉价格和兑换入口；点击可看用途与数量，再明确确认兑换。仅五件商品时无需加入空分类、促销或付费模块。</w:t>
      </w:r>
    </w:p>
    <w:p>
      <w:r>
        <w:rPr>
          <w:b/>
        </w:rPr>
        <w:t xml:space="preserve">验收条件  </w:t>
      </w:r>
      <w:r>
        <w:t>首页集市到达新商城，五件原有商品齐全、价格及消耗币种仍为荣誉；金币物资铺行为不变。覆盖余额不足、恰好足够、连续购买、返回和误触；一次确认只扣费并发货一次，兑换反馈清楚。</w:t>
      </w:r>
    </w:p>
    <w:p>
      <w:r>
        <w:rPr>
          <w:b/>
        </w:rPr>
        <w:t xml:space="preserve">实施注意  </w:t>
      </w:r>
      <w:r>
        <w:t>先定一屏商城尺寸稿，再替换展示层；不扩充商品、不调整数值。</w:t>
      </w:r>
    </w:p>
    <w:p>
      <w:r>
        <w:br w:type="page"/>
      </w:r>
    </w:p>
    <w:p>
      <w:pPr>
        <w:pStyle w:val="Heading1"/>
      </w:pPr>
      <w:r>
        <w:t>P07 共鸣机关需要正式场景美术</w:t>
      </w:r>
    </w:p>
    <w:p>
      <w:r>
        <w:t>P1    关联原图 07    状态 待实施及复验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344600" cy="2988000"/>
            <wp:docPr id="7" name="Picture 7" descr="图 07  用户原截图  原文渲染第 8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46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07  用户原截图  原文渲染第 8 页</w:t>
      </w:r>
    </w:p>
    <w:p>
      <w:r>
        <w:rPr>
          <w:b/>
        </w:rPr>
        <w:t xml:space="preserve">用户诉求  </w:t>
      </w:r>
      <w:r>
        <w:t>补齐素材，减少粗糙线条替代。</w:t>
      </w:r>
    </w:p>
    <w:p>
      <w:r>
        <w:rPr>
          <w:b/>
        </w:rPr>
        <w:t xml:space="preserve">可见问题  </w:t>
      </w:r>
      <w:r>
        <w:t>“三声共鸣廊”中的圆轮和长连线与石地、人物、路牌的像素画完成度不一致，外观更像示意图。</w:t>
      </w:r>
    </w:p>
    <w:p>
      <w:r>
        <w:rPr>
          <w:b/>
        </w:rPr>
        <w:t xml:space="preserve">原因与证据  </w:t>
      </w:r>
      <w:r>
        <w:t>已确认这些圆轮与线条由 FourthActGround._draw 和 _seal 直接绘制，表示三声碑及关联状态，并非纹理加载失败。地图配置还记录了 forest → tide → snow 的前置旗标顺序。证据 C07。</w:t>
      </w:r>
    </w:p>
    <w:p>
      <w:r>
        <w:rPr>
          <w:b/>
        </w:rPr>
        <w:t xml:space="preserve">修改方案  </w:t>
      </w:r>
      <w:r>
        <w:t>为声碑或阵盘制作与石质地图匹配的实体图，至少包含未激活、可交互、已共鸣和完成状态。程序仅保留必要的发光、脉冲或细连线叠层；连线承担信息提示时改成符文光路，不能只删除。热点、碰撞、状态和解谜顺序继续复用现有逻辑。</w:t>
      </w:r>
    </w:p>
    <w:p>
      <w:r>
        <w:rPr>
          <w:b/>
        </w:rPr>
        <w:t xml:space="preserve">验收条件  </w:t>
      </w:r>
      <w:r>
        <w:t>整张地图不再出现无材质的大圆盘和粗直线占位。三座机关的方向、激活条件与先后顺序可辨；未解锁、局部完成、全部完成及读档状态均与表现一致，触控区域不偏移，既有解谜流程可完成。</w:t>
      </w:r>
    </w:p>
    <w:p>
      <w:r>
        <w:rPr>
          <w:b/>
        </w:rPr>
        <w:t xml:space="preserve">实施注意  </w:t>
      </w:r>
      <w:r>
        <w:t>本项按“表现资产待完善”管理，不能以资源文件检查通过作为关闭证据。</w:t>
      </w:r>
    </w:p>
    <w:p>
      <w:r>
        <w:br w:type="page"/>
      </w:r>
    </w:p>
    <w:p>
      <w:pPr>
        <w:pStyle w:val="Heading1"/>
      </w:pPr>
      <w:r>
        <w:t>P08 首页六枚图标需要统一美术语言</w:t>
      </w:r>
    </w:p>
    <w:p>
      <w:r>
        <w:t>P1    关联原图 08    状态 待实施及复验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344600" cy="2988000"/>
            <wp:docPr id="8" name="Picture 8" descr="图 08  用户原截图  原文渲染第 9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46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08  用户原截图  原文渲染第 9 页</w:t>
      </w:r>
    </w:p>
    <w:p>
      <w:r>
        <w:rPr>
          <w:b/>
        </w:rPr>
        <w:t xml:space="preserve">用户诉求  </w:t>
      </w:r>
      <w:r>
        <w:t>四种货币以及背包、小聚图标，统一为中间五个入口或底部入口的画风。</w:t>
      </w:r>
    </w:p>
    <w:p>
      <w:r>
        <w:rPr>
          <w:b/>
        </w:rPr>
        <w:t xml:space="preserve">可见问题  </w:t>
      </w:r>
      <w:r>
        <w:t>四币、背包和小聚较扁平，中央建筑入口和底部导航更强调金色轮廓、材质与装饰细节；同屏图标精细度不同。</w:t>
      </w:r>
    </w:p>
    <w:p>
      <w:r>
        <w:rPr>
          <w:b/>
        </w:rPr>
        <w:t xml:space="preserve">原因与证据  </w:t>
      </w:r>
      <w:r>
        <w:t>首页顶栏资源取自 assets/ui/pixel_icons，中央和底栏主要读取 assets/ui/home/icons 的另一套图。两套来源并存，导致画风和视觉重量不一致。货币详情还通过 G.res_tex 取图，单改首页不一定全局同步。证据 C08。</w:t>
      </w:r>
    </w:p>
    <w:p>
      <w:r>
        <w:rPr>
          <w:b/>
        </w:rPr>
        <w:t xml:space="preserve">修改方案  </w:t>
      </w:r>
      <w:r>
        <w:t>以用户指定的中央和底部现有图标为基准，先制作金币、远征币、魂晶、荣誉、背包、小聚六枚并排样稿，再整套定稿。保留每种图标的语义与主色，统一描边、光向、材质、边距和小尺寸轮廓。设置同一语义 ID 的资源映射，让首页、详情、兑换和奖励共用正式图。</w:t>
      </w:r>
    </w:p>
    <w:p>
      <w:r>
        <w:rPr>
          <w:b/>
        </w:rPr>
        <w:t xml:space="preserve">验收条件  </w:t>
      </w:r>
      <w:r>
        <w:t>六枚图标在原手机实际显示尺寸下可辨识、无糊边，风格与参考组一致；余额、红点和点击热区不被遮挡。相同币种跨页形象一致，选中、禁用和有通知状态清楚。</w:t>
      </w:r>
    </w:p>
    <w:p>
      <w:r>
        <w:rPr>
          <w:b/>
        </w:rPr>
        <w:t xml:space="preserve">实施注意  </w:t>
      </w:r>
      <w:r>
        <w:t>美术清单独立列出六枚，不能只换边框而保留粗简内部图形。</w:t>
      </w:r>
    </w:p>
    <w:p>
      <w:r>
        <w:br w:type="page"/>
      </w:r>
    </w:p>
    <w:p>
      <w:pPr>
        <w:pStyle w:val="Heading1"/>
      </w:pPr>
      <w:r>
        <w:t>P09 古碑鉴宝需要拆分阅读与操作层级</w:t>
      </w:r>
    </w:p>
    <w:p>
      <w:r>
        <w:t>P1    关联原图 09    状态 待实施及复验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344600" cy="2988000"/>
            <wp:docPr id="9" name="Picture 9" descr="图 09  用户原截图  原文渲染第 10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46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09  用户原截图  原文渲染第 10 页</w:t>
      </w:r>
    </w:p>
    <w:p>
      <w:r>
        <w:rPr>
          <w:b/>
        </w:rPr>
        <w:t xml:space="preserve">用户诉求  </w:t>
      </w:r>
      <w:r>
        <w:t>文字太密集且重叠，拆成可点开的多个界面。</w:t>
      </w:r>
    </w:p>
    <w:p>
      <w:r>
        <w:rPr>
          <w:b/>
        </w:rPr>
        <w:t xml:space="preserve">可见问题  </w:t>
      </w:r>
      <w:r>
        <w:t>碑文、首次奖励和近期鉴宝在同一区域互相覆盖；顶部“20/3 次”也混合了累计次数与称号目标。面板上方拥挤，下方仍有大量空白。</w:t>
      </w:r>
    </w:p>
    <w:p>
      <w:r>
        <w:rPr>
          <w:b/>
        </w:rPr>
        <w:t xml:space="preserve">原因与证据  </w:t>
      </w:r>
      <w:r>
        <w:t>当前铭文标签最小尺寸为 314×118，参悟后写入整篇长文与奖励；下方分割线和历史仍固定在 y412、y418，缺少滚动及高度联动。外框也沿用固定尺寸与绝对定位。证据 C09。</w:t>
      </w:r>
    </w:p>
    <w:p>
      <w:r>
        <w:rPr>
          <w:b/>
        </w:rPr>
        <w:t xml:space="preserve">修改方案  </w:t>
      </w:r>
      <w:r>
        <w:t>拆为总览、古碑详情、鉴宝详情、鉴宝记录四类界面，另设结果弹卡。总览仅显示两张功能卡、金币和简短进度；碑文单独滚动，鉴宝页显示箱型、费用和说明，记录按条点开。累计鉴宝和称号进度分开显示。正文建议 20 至 22 逻辑字号、左对齐，操作按钮固定于底部安全区。</w:t>
      </w:r>
    </w:p>
    <w:p>
      <w:r>
        <w:rPr>
          <w:b/>
        </w:rPr>
        <w:t xml:space="preserve">验收条件  </w:t>
      </w:r>
      <w:r>
        <w:t>最长碑文、首次与重复参悟、空及满 6 条记录、0/2/3/20 次均无覆盖。查看与返回不调用 lore_resonate 或 curio_appraise；只有明确操作才发奖或扣币，且只执行一次。结果确认仅关闭弹卡，返回后余额与进度已刷新；价格、奖励与称号阈值不变。</w:t>
      </w:r>
    </w:p>
    <w:p>
      <w:r>
        <w:rPr>
          <w:b/>
        </w:rPr>
        <w:t xml:space="preserve">实施注意  </w:t>
      </w:r>
      <w:r>
        <w:t>须同时处理信息拆分和容器布局；只缩字号或整体缩小面板不满足目标。</w:t>
      </w:r>
    </w:p>
    <w:p>
      <w:r>
        <w:br w:type="page"/>
      </w:r>
    </w:p>
    <w:p>
      <w:pPr>
        <w:pStyle w:val="Heading1"/>
      </w:pPr>
      <w:r>
        <w:t>P10 骑乘需要人马一体的连续动画</w:t>
      </w:r>
    </w:p>
    <w:p>
      <w:r>
        <w:t>P1    关联原图 10    状态 待实施及复验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344600" cy="2988000"/>
            <wp:docPr id="10" name="Picture 10" descr="图 10  用户原截图  原文渲染第 12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46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用户原截图  原文渲染第 12 页</w:t>
      </w:r>
    </w:p>
    <w:p>
      <w:r>
        <w:rPr>
          <w:b/>
        </w:rPr>
        <w:t xml:space="preserve">用户诉求  </w:t>
      </w:r>
      <w:r>
        <w:t>角色与马的结合仍不自然，考虑各角色的人马一体素材，并保证跑动帧连续。</w:t>
      </w:r>
    </w:p>
    <w:p>
      <w:r>
        <w:rPr>
          <w:b/>
        </w:rPr>
        <w:t xml:space="preserve">可见问题  </w:t>
      </w:r>
      <w:r>
        <w:t>静态图可见人物坐姿、鞍位、人与马的尺度和接地关系仍显生硬。跑动不自然属于用户反馈；单张截图无法独立证明整段动画质量。</w:t>
      </w:r>
    </w:p>
    <w:p>
      <w:r>
        <w:rPr>
          <w:b/>
        </w:rPr>
        <w:t xml:space="preserve">原因与证据  </w:t>
      </w:r>
      <w:r>
        <w:t>当前马每方向仅 3 张独立姿态，以 [0,1,2,1] 组成 4 个播放槽并以 6 fps 播放；骑手每方向只有 1 张静态坐姿，靠轻微上下位移配合。朝下还使用马嘴裁图补遮挡。现有“帧数为 4”检查无法证明自然步态。证据 C10。</w:t>
      </w:r>
    </w:p>
    <w:p>
      <w:r>
        <w:rPr>
          <w:b/>
        </w:rPr>
        <w:t xml:space="preserve">修改方案  </w:t>
      </w:r>
      <w:r>
        <w:t>优先试作一个职业的四向人马合体待机、行走和疾行，先通过姿态与闭环审查，再扩展四职业。统一透视、臀部落鞍、腿与马体遮挡、缰绳和披风相位；采用合体资源后移除重复骑手与马嘴补丁。继续复用原速度、脚点、碰撞和上下马规则。</w:t>
      </w:r>
    </w:p>
    <w:p>
      <w:r>
        <w:rPr>
          <w:b/>
        </w:rPr>
        <w:t xml:space="preserve">验收条件  </w:t>
      </w:r>
      <w:r>
        <w:t>逐帧和慢放检查后，在原手机录制四职业四向原速移动。连续多个周期无跳锚、穿插、换比例和循环顿挫；转向、急停、顶墙、上下马均自然。蹄接触、阴影和脚步音同步，查看独立帧数不能替代动态观感验收。</w:t>
      </w:r>
    </w:p>
    <w:p>
      <w:r>
        <w:rPr>
          <w:b/>
        </w:rPr>
        <w:t xml:space="preserve">实施注意  </w:t>
      </w:r>
      <w:r>
        <w:t>详细步态、帧数、导出与验收要求见后续专章；本次只定义方案，不生成或替换素材。</w:t>
      </w:r>
    </w:p>
    <w:p>
      <w:r>
        <w:br w:type="page"/>
      </w:r>
    </w:p>
    <w:p>
      <w:pPr>
        <w:pStyle w:val="Heading1"/>
      </w:pPr>
      <w:r>
        <w:t>骑乘连续帧的制作要求</w:t>
      </w:r>
    </w:p>
    <w:p>
      <w:r>
        <w:t>建议采用人马一体动画作为首选方案。先完成一个职业的四方向样片，通过动态验收后再批量制作其余职业。若保留分层复用，必须在同一动作设计中逐帧匹配鞍点、遮挡和接地点；独立生成静态人物与马再拼接，难以解决相位不一致。</w:t>
      </w:r>
    </w:p>
    <w:p>
      <w:pPr>
        <w:pStyle w:val="Heading2"/>
      </w:pPr>
      <w:r>
        <w:t>先定步态再定帧数</w:t>
      </w:r>
    </w:p>
    <w:p>
      <w:r>
        <w:t>真实马的疾驰是四拍步态。以左领跑为例，落蹄顺序为右后、左后、右前、左前；慢跑与疾驰不能仅靠同一组图加速混用。美术应先画接触、承重、离地、收腿与恢复的连续相位，再给骑手的骨盆、躯干、手臂、缰绳和披风加入相应变化。步态依据见 R01。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324"/>
        <w:gridCol w:w="1928"/>
        <w:gridCol w:w="3798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建议独立帧每方向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试播速度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检查重点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待机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4 帧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4 至 6 fps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重心稳定  呼吸与轻微摆动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行走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8 帧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8 至 12 fps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落蹄顺序  接地与位移配合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疾行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12 帧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12 至 16 fps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完整支撑与腾空相位  骑手随动</w:t>
            </w:r>
          </w:p>
        </w:tc>
      </w:tr>
    </w:tbl>
    <w:p>
      <w:pPr>
        <w:spacing w:after="0"/>
      </w:pPr>
    </w:p>
    <w:p>
      <w:r>
        <w:t>这些帧数与播放速度是项目建议值，并非引擎强制规定。按此首版规格，一个职业的四方向合计 96 张独立帧，四职业合计 384 张；样片评审后可调整。不得用 [0,1,2,1] 的重复播放槽充当四张独立姿态。</w:t>
      </w:r>
    </w:p>
    <w:p>
      <w:pPr>
        <w:pStyle w:val="Heading2"/>
      </w:pPr>
      <w:r>
        <w:t>资产和接入约定</w:t>
      </w:r>
    </w:p>
    <w:p>
      <w:r>
        <w:t>沿用 down、left、right、up 四方向。输出透明 RGBA PNG，统一整数像素帧格、相机、比例、光向和边距；单格可先以 256 或 384 像素试作，再按游戏内实际显示尺寸审查清晰度。每帧记录 ground_anchor、saddle_anchor、接触相位与音效触发点，避免帧间跳锚和切格出现半像素边界。</w:t>
      </w:r>
    </w:p>
    <w:p>
      <w:r>
        <w:t>所有连续动作均顺序循环；第末帧自然接回首帧，不倒放凑周期，不重复首帧造成停顿。马与骑手的服装、鞍具、四肢数量和比例须逐帧保持一致。优先复用项目现有播放与移动控制；如采用 AnimatedSprite2D 与 SpriteFrames，帧区、帧时长和循环设置可按 R02、R03 配置。</w:t>
      </w:r>
    </w:p>
    <w:p>
      <w:pPr>
        <w:pStyle w:val="Heading2"/>
      </w:pPr>
      <w:r>
        <w:t>动态验收素材</w:t>
      </w:r>
    </w:p>
    <w:p>
      <w:r>
        <w:t>每职业四向各提供待机、行走、疾行的透明预览与接入后的原手机录屏。每段连续展示至少 3 至 5 个周期，并检查原速、慢放和逐帧。另录转向、起步、急停、顶墙、上下马、进门和接战；跑动脚步音按接触相位触发，停下后停止。仅提供接触表或单帧截图不予关闭本问题。</w:t>
      </w:r>
    </w:p>
    <w:p>
      <w:r>
        <w:br w:type="page"/>
      </w:r>
    </w:p>
    <w:p>
      <w:pPr>
        <w:pStyle w:val="Heading1"/>
      </w:pPr>
      <w:r>
        <w:t>素材清单与跨页接入规则</w:t>
      </w:r>
    </w:p>
    <w:p>
      <w:r>
        <w:t>以下是后续实施的最小交付范围。每条资产应具有语义 ID、现用路径、目标路径、状态、参考图、使用页面、负责人和验收图，便于区分未制作、映射遗漏、占位及导出问题。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912"/>
        <w:gridCol w:w="4195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组别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最小范围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登录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清晰背景扩图  可交互区标定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最长屏不露模糊补带  热点随布局同步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灵宠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底座裁框  10 只宠物锚点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底座 宠物 阴影共享接地点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材料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包裹 信件 票据 印章等简图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逐 ID 盘点并替换不合风格的正式路径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装备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下列 6 个模板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专属资源可用且映射齐全  不再回退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首页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四币 背包 小聚共 6 枚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同套样稿通过并跨页面共用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机关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三座共鸣机关及其状态图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实体材质完整  交互状态与旗标一致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骑乘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四职业 四方向 三类动作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先完成 1 职业样片  再扩完整资产</w:t>
            </w:r>
          </w:p>
        </w:tc>
      </w:tr>
    </w:tbl>
    <w:p>
      <w:pPr>
        <w:spacing w:after="0"/>
      </w:pPr>
    </w:p>
    <w:p>
      <w:pPr>
        <w:pStyle w:val="Heading2"/>
      </w:pPr>
      <w:r>
        <w:t>需补专属映射的六个装备模板</w:t>
      </w:r>
    </w:p>
    <w:p>
      <w:r>
        <w:t>tpl_sword_starfall</w:t>
      </w:r>
    </w:p>
    <w:p>
      <w:r>
        <w:t>tpl_spear_windpiercer</w:t>
      </w:r>
    </w:p>
    <w:p>
      <w:r>
        <w:t>tpl_staff_glacierheart</w:t>
      </w:r>
    </w:p>
    <w:p>
      <w:r>
        <w:t>tpl_hammer_dawnlight</w:t>
      </w:r>
    </w:p>
    <w:p>
      <w:r>
        <w:t>tpl_armor_expedition</w:t>
      </w:r>
    </w:p>
    <w:p>
      <w:r>
        <w:t>tpl_acc_archery_ring</w:t>
      </w:r>
    </w:p>
    <w:p>
      <w:r>
        <w:t>上述六项当前模板 rarity 为 4。实施时以 ID 定位，不以本文描述名称进行字符串替换；先检查已有可用资源，再决定是否新增制作。</w:t>
      </w:r>
    </w:p>
    <w:p>
      <w:pPr>
        <w:pStyle w:val="Heading2"/>
      </w:pPr>
      <w:r>
        <w:t>跨页保持同一资源含义</w:t>
      </w:r>
    </w:p>
    <w:p>
      <w:r>
        <w:t>同一货币或物品 ID 应在首页、货币说明、背包、商城、奖励和详情中保持一致。正式资产接入后，应检查所有引用点、图集裁框、透明留白和导出清单；不能只看文件存在，也不能只看编辑器能加载。</w:t>
      </w:r>
    </w:p>
    <w:p>
      <w:r>
        <w:t>不调整本轮无关的掉落、价格、品质、奖励、成长数值和存档格式。纯展示改版沿用原数据接口，打开详情与返回不得触发发奖、扣费或开箱。</w:t>
      </w:r>
    </w:p>
    <w:p>
      <w:r>
        <w:br w:type="page"/>
      </w:r>
    </w:p>
    <w:p>
      <w:pPr>
        <w:pStyle w:val="Heading1"/>
      </w:pPr>
      <w:r>
        <w:t>页面结构与交互方案</w:t>
      </w:r>
    </w:p>
    <w:p>
      <w:pPr>
        <w:pStyle w:val="Heading2"/>
      </w:pPr>
      <w:r>
        <w:t>货币小卡片</w:t>
      </w:r>
    </w:p>
    <w:p>
      <w:r>
        <w:t>首页货币入口 → 对应币种说明卡 → 关闭返回首页。每次只显示一种货币，不提供卡内跨币导航；组件和数据配置仍可复用。卡片宽度建议为安全区宽的 80% 至 90%，上限随平板尺寸稿确定，高度按内容；内容较长时保留标题与关闭入口，只滚动正文。</w:t>
      </w:r>
    </w:p>
    <w:p>
      <w:pPr>
        <w:pStyle w:val="Heading2"/>
      </w:pPr>
      <w:r>
        <w:t>荣誉商城</w:t>
      </w:r>
    </w:p>
    <w:p>
      <w:r>
        <w:t>首页集市 → 荣誉商城商品区 → 商品详情及确认 → 成功反馈 → 刷新余额。商品卡展示物件而非整行文字；使用现有五件商品。商品数量和价格以配置为准，任何确认框都必须明确消耗荣誉，避免与城内金币商店混淆。</w:t>
      </w:r>
    </w:p>
    <w:p>
      <w:pPr>
        <w:pStyle w:val="Heading2"/>
      </w:pPr>
      <w:r>
        <w:t>古碑与鉴宝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649"/>
        <w:gridCol w:w="3288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界面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主要内容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允许动作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总览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金币  称号进度  古碑卡  鉴宝卡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打开详情  查看记录  关闭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古碑详情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当前职业碑文  共鸣状态  首次奖励说明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明确点击参悟  返回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鉴宝详情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箱型  单次价格  奖励说明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选择箱型后确认鉴宝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鉴宝结果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已自动入包的奖励  容量不足时的原替代结果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确认仅关闭  返回详情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鉴宝记录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按最近鉴宝顺序排列  沿用最近 6 条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只读打开单条记录</w:t>
            </w:r>
          </w:p>
        </w:tc>
      </w:tr>
    </w:tbl>
    <w:p>
      <w:pPr>
        <w:spacing w:after="0"/>
      </w:pPr>
    </w:p>
    <w:p>
      <w:r>
        <w:t>正文使用容器按内容排版，中部独立滚动，底部按钮固定在安全区内。建议正文 20 至 22 逻辑字号、行距增加 4 至 6、段间留白 12 至 16 逻辑像素，主要操作热区高 56 至 60 逻辑像素。最终数值以原手机实际阅读为准，避免通过整体缩放把字号一并缩小。</w:t>
      </w:r>
    </w:p>
    <w:p>
      <w:r>
        <w:t>古碑记录读取与参悟动作分离：lore_resonate 会发奖并存档，curio_appraise 会扣币、累计次数并自动发货，均不得在打开或查看时调用。结果卡不新增领取动作。对重复确认加锁；Android 返回键逐层退出，返回总览保留已刷新余额、进度和列表位置。记录沿用现有字符串，不新增时间戳或扩充存档。</w:t>
      </w:r>
    </w:p>
    <w:p>
      <w:r>
        <w:br w:type="page"/>
      </w:r>
    </w:p>
    <w:p>
      <w:pPr>
        <w:pStyle w:val="Heading1"/>
      </w:pPr>
      <w:r>
        <w:t>实施顺序与每阶段交付</w:t>
      </w:r>
    </w:p>
    <w:p>
      <w:r>
        <w:t>以下仅作为后续执行安排，不代表本次已开始修改。美术、界面与验收可以并行准备，但每批须具备可对照的结果后再进入下一批。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72"/>
        <w:gridCol w:w="4422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工作范围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交付与进入下一阶段条件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一  核对基线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记录 APK 版本  设备参数  十处复现路径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同一安装包的原图和录屏可追溯  不要求清档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二  关键尺寸稿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P01 P02 P03 P09 及骑乘首职业样片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长短屏尺寸稿  热点与锚点标注  动态预览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三  统一资产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P04 P05 P07 P08 及骑乘扩展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资源清单逐项到正式路径  占位与回退明确关闭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四  接入改版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货币卡  商城  古碑分层  机关与动画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展示与只读查询分离  原数值和操作规则回归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五  原手机验收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按十项逐一对照截图与视频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全部验收条件有证据  未通过项继续保留状态</w:t>
            </w:r>
          </w:p>
        </w:tc>
      </w:tr>
    </w:tbl>
    <w:p>
      <w:pPr>
        <w:spacing w:after="0"/>
      </w:pPr>
    </w:p>
    <w:p>
      <w:pPr>
        <w:pStyle w:val="Heading2"/>
      </w:pPr>
      <w:r>
        <w:t>先处理的四项</w:t>
      </w:r>
    </w:p>
    <w:p>
      <w:r>
        <w:t>P09 先恢复长文可读与操作安全；P01 解决反复出现的登录模糊；P02 统一底座和主体锚点；P10 先验证连续骑乘样片。P03 与 P08 联合定稿货币卡和图标，减少先接入后返工。商城 P06 可在组件与素材标准确定后完成。</w:t>
      </w:r>
    </w:p>
    <w:p>
      <w:pPr>
        <w:pStyle w:val="Heading2"/>
      </w:pPr>
      <w:r>
        <w:t>本轮仍需后续复现的信息</w:t>
      </w:r>
    </w:p>
    <w:p>
      <w:r>
        <w:t>截图对应的包版本及构建标识、机型与系统版本、实际安全区与键盘行为，以及骑乘原速录屏尚未绑定。后续可从当前设置中的设备信息与实际包信息补齐；不要把这些未知项归因为玩家装错包，也不要要求卸载或清档来完成视觉验收。</w:t>
      </w:r>
    </w:p>
    <w:p>
      <w:pPr>
        <w:pStyle w:val="Heading2"/>
      </w:pPr>
      <w:r>
        <w:t>问题关闭规则</w:t>
      </w:r>
    </w:p>
    <w:p>
      <w:r>
        <w:t>每个编号保留修前证据、实施记录、修后同条件证据和验收结论。美术定稿、文件存在、桌面检查、自动化计数和原手机实测分别记录。只有对应验收条件通过才关闭；美术已替换但原手机仍偏位时继续保留为未通过。</w:t>
      </w:r>
    </w:p>
    <w:p>
      <w:r>
        <w:br w:type="page"/>
      </w:r>
    </w:p>
    <w:p>
      <w:pPr>
        <w:pStyle w:val="Heading1"/>
      </w:pPr>
      <w:r>
        <w:t>复验矩阵与检查重点</w:t>
      </w:r>
    </w:p>
    <w:p>
      <w:r>
        <w:t>逻辑像素与手机物理分辨率须明确区分。以下逻辑尺寸用于覆盖布局比例，并不表示已在相应设备上测试；1260×2800 截图按 480 宽换算约为 480×1067，仅用于比例参考。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139"/>
        <w:gridCol w:w="396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覆盖范围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主要检查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屏幕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480×800  480×853  480×1067  480×1120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四边背景  安全区  按钮可达  弹窗滚动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显示与隐藏系统栏  有缺口屏  键盘弹起及关闭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热区与图片对齐  内容不遮挡  恢复无跳位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宠物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10 只  已结缘与未结缘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台座 宠物 阴影同轴  头尾无裁切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资源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材料全清单  6 装备模板  6 首页图标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占位 回退 风格 混用 跨页一致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古碑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四职业  首次与重复参悟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最长正文可读  仅明确操作发奖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鉴宝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次数 0/2/3/20  金币 0/259/260/679/680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不足与临界值  背包满与临界容量  仅确认扣费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记录结果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记录 0/1/6 条  第 7 次鉴宝后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仅保留最新 6 条  关闭结果不重发奖励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商城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五商品  余额不足与足够  连续购买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正确荣誉消耗  无重复发货  原金币商店不受影响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机关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未解锁  部分完成  全部完成  读档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forest → tide → snow  状态与热点一致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骑乘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四职业 四向 待机 行走 疾行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原速 慢放 逐帧  转向 急停 上下马</w:t>
            </w:r>
          </w:p>
        </w:tc>
      </w:tr>
    </w:tbl>
    <w:p>
      <w:pPr>
        <w:spacing w:after="0"/>
      </w:pPr>
    </w:p>
    <w:p>
      <w:pPr>
        <w:pStyle w:val="Heading2"/>
      </w:pPr>
      <w:r>
        <w:t>必须保留的验收材料</w:t>
      </w:r>
    </w:p>
    <w:p>
      <w:r>
        <w:t>每项提供同设备、同入口、同状态的前后截图；骑乘另附连续录屏和循环预览。记录安装包版本、设备与显示信息、路径、触发步骤和实际结果。截图须包含四边，避免裁掉模糊补带、系统栏或底部按钮后误判通过。</w:t>
      </w:r>
    </w:p>
    <w:p>
      <w:r>
        <w:t>本次没有运行或安装游戏，也没有对上述矩阵执行功能测试。文档中的方案和数值均为拟实施与拟验收要求；已确认部分仅指附件现象与静态源码事实。</w:t>
      </w:r>
    </w:p>
    <w:p>
      <w:r>
        <w:br w:type="page"/>
      </w:r>
    </w:p>
    <w:p>
      <w:pPr>
        <w:pStyle w:val="Heading1"/>
      </w:pPr>
      <w:r>
        <w:t>源码定位与参考资料</w:t>
      </w:r>
    </w:p>
    <w:p>
      <w:r>
        <w:t>以下位置基于本次读取的当前工作区，行号会随后续代码变化而移动。每项主路径为完整绝对路径；辅助路径除单列完整路径者外，均相对游戏项目根 D:/new-bee/远征。后续实施应同时按函数、资源 ID 与路径定位。</w:t>
      </w:r>
    </w:p>
    <w:p>
      <w:r>
        <w:rPr>
          <w:b/>
        </w:rPr>
        <w:t>C01  登录背景与热点</w:t>
      </w:r>
    </w:p>
    <w:p>
      <w:r>
        <w:t>D:/new-bee/远征/src/ui/LoginChestView.gd</w:t>
        <w:br/>
        <w:t>30–48 及 167–189；assets/ui/login_20261014/login_kit.json 第 3–7 行；D:/new-bee/ui_design_input/round1_main_scenes/tools/build_login_kit.py 第 78–83 行。</w:t>
      </w:r>
    </w:p>
    <w:p>
      <w:r>
        <w:rPr>
          <w:b/>
        </w:rPr>
        <w:t>C02  灵宠与底座锚点</w:t>
      </w:r>
    </w:p>
    <w:p>
      <w:r>
        <w:t>D:/new-bee/远征/src/ui/CollectionChestView.gd</w:t>
        <w:br/>
        <w:t>38 及 209–236；src/ui/ChestPageUI.gd 第 24–28 行；assets/ui/full_review_fixes_20261009/regions.json 的 pedestal 记录及 pet_show/pet_foxfire_hd.png。</w:t>
      </w:r>
    </w:p>
    <w:p>
      <w:r>
        <w:rPr>
          <w:b/>
        </w:rPr>
        <w:t>C03  四币页签与全高面板</w:t>
      </w:r>
    </w:p>
    <w:p>
      <w:r>
        <w:t>D:/new-bee/远征/src/ui/CurrencyPanel.gd</w:t>
        <w:br/>
        <w:t>29–40、81–103 及 105–111。</w:t>
      </w:r>
    </w:p>
    <w:p>
      <w:r>
        <w:rPr>
          <w:b/>
        </w:rPr>
        <w:t>C04  材料资源选择与共用</w:t>
      </w:r>
    </w:p>
    <w:p>
      <w:r>
        <w:t>D:/new-bee/远征/src/autoload/G.gd</w:t>
        <w:br/>
        <w:t>3658–3659、6039–6045 及 6124–6126；src/ui/BagPanel.gd 第 371–387 行。</w:t>
      </w:r>
    </w:p>
    <w:p>
      <w:r>
        <w:rPr>
          <w:b/>
        </w:rPr>
        <w:t>C05  装备回退与品质</w:t>
      </w:r>
    </w:p>
    <w:p>
      <w:r>
        <w:t>D:/new-bee/远征/src/ui/ReviewFixUI.gd</w:t>
        <w:br/>
        <w:t>38–40；data/equip.json 第 845–962 行；src/ui/ChestPageUI.gd 第 158–163 行。</w:t>
      </w:r>
    </w:p>
    <w:p>
      <w:r>
        <w:br w:type="page"/>
      </w:r>
    </w:p>
    <w:p>
      <w:pPr>
        <w:pStyle w:val="Heading1"/>
      </w:pPr>
      <w:r>
        <w:t>源码定位续</w:t>
      </w:r>
    </w:p>
    <w:p>
      <w:r>
        <w:rPr>
          <w:b/>
        </w:rPr>
        <w:t>C06  集市实际入口</w:t>
      </w:r>
    </w:p>
    <w:p>
      <w:r>
        <w:t>D:/new-bee/远征/src/ui/home/TownHome.gd</w:t>
        <w:br/>
        <w:t>40–45 及 825；src/ui/GameHome.gd 第 357–368 行；src/ui/ExchangePanel.gd；data/exchange.json。城内另一入口见 src/city/CityScene.gd 第 2496–2500 行与 src/ui/ShopPanel.gd。</w:t>
      </w:r>
    </w:p>
    <w:p>
      <w:r>
        <w:rPr>
          <w:b/>
        </w:rPr>
        <w:t>C07  三声碑程序绘制</w:t>
      </w:r>
    </w:p>
    <w:p>
      <w:r>
        <w:t>D:/new-bee/远征/src/explore/FourthActGround.gd</w:t>
        <w:br/>
        <w:t>26–33 及 63–71；src/explore/MapScene.gd 第 650–653 行；data/main_world_maps.json 第 9282 及 9339–9382 行。</w:t>
      </w:r>
    </w:p>
    <w:p>
      <w:r>
        <w:rPr>
          <w:b/>
        </w:rPr>
        <w:t>C08  首页两套图标来源</w:t>
      </w:r>
    </w:p>
    <w:p>
      <w:r>
        <w:t>D:/new-bee/远征/src/ui/home/TownHome.gd</w:t>
        <w:br/>
        <w:t>15、399、586、611 及 797；src/ui/CurrencyPanel.gd 第 93 行；src/ui/UIIcons.gd 第 6–8 及 25–28 行。</w:t>
      </w:r>
    </w:p>
    <w:p>
      <w:r>
        <w:rPr>
          <w:b/>
        </w:rPr>
        <w:t>C09  古碑绝对定位和数据动作</w:t>
      </w:r>
    </w:p>
    <w:p>
      <w:r>
        <w:t>D:/new-bee/远征/src/ui/ArenaPanel.gd</w:t>
        <w:br/>
        <w:t>518–523、537–542 及 604–645；src/autoload/G.gd 第 4858–4870 的 lore_resonate、第 4883–4893 的 curio_appraise、第 4900–4951 行的自动入包和最近 6 条记录。</w:t>
      </w:r>
    </w:p>
    <w:p>
      <w:r>
        <w:rPr>
          <w:b/>
        </w:rPr>
        <w:t>C10  马帧与静态骑手</w:t>
      </w:r>
    </w:p>
    <w:p>
      <w:r>
        <w:t>D:/new-bee/远征/src/world/MountVisual.gd</w:t>
        <w:br/>
        <w:t>16–35、77–110 及 121–129；src/explore/MapScene.gd 第 1190–1212、2865–2868 及 2903–2910 行。</w:t>
      </w:r>
    </w:p>
    <w:p>
      <w:pPr>
        <w:pStyle w:val="Heading2"/>
      </w:pPr>
      <w:r>
        <w:t>原始反馈文件</w:t>
      </w:r>
    </w:p>
    <w:p>
      <w:r>
        <w:t>C:/Users/tsz/Downloads/上下模糊的地方依旧没解决.docx。10 组图文均已逐项整理。原文由 Word 只读渲染为 13 页，截图依次位于第 1、2、3、4、5、7、8、9、10、12 页。</w:t>
      </w:r>
    </w:p>
    <w:p>
      <w:r>
        <w:t>源文件 SHA256  3427609dbc86a7800c250fb4ceab8783623d79d84c24c0f28228e11682ea4a05</w:t>
      </w:r>
    </w:p>
    <w:p>
      <w:r>
        <w:br w:type="page"/>
      </w:r>
    </w:p>
    <w:p>
      <w:pPr>
        <w:pStyle w:val="Heading1"/>
      </w:pPr>
      <w:r>
        <w:t>骑乘参考依据与事实边界</w:t>
      </w:r>
    </w:p>
    <w:p>
      <w:r>
        <w:t>R01  Horse Gallop，Extension Horses，Ashley Griffin，University of Kentucky。用于核对疾驰的四拍与左右领跑落蹄顺序，不作为帧数、游戏速度或图像生成规范。查阅日期 2026 年 10 月 24 日。</w:t>
      </w:r>
    </w:p>
    <w:p>
      <w:hyperlink r:id="rId21">
        <w:r>
          <w:rPr>
            <w:color w:val="1F4E79"/>
          </w:rPr>
          <w:t>https://horses.extension.org/horse-gallop/</w:t>
        </w:r>
      </w:hyperlink>
    </w:p>
    <w:p>
      <w:r>
        <w:t>R02  Godot 官方 2D sprite animation。用于核对独立帧、精灵表切格、播放速度和循环的接入方式。</w:t>
      </w:r>
    </w:p>
    <w:p>
      <w:hyperlink r:id="rId22">
        <w:r>
          <w:rPr>
            <w:color w:val="1F4E79"/>
          </w:rPr>
          <w:t>https://docs.godotengine.org/en/stable/tutorials/2d/2d_sprite_animation.html</w:t>
        </w:r>
      </w:hyperlink>
    </w:p>
    <w:p>
      <w:r>
        <w:t>R03  Godot 官方 SpriteFrames。用于核对独立帧、逐帧相对时长、动画速度与循环配置；接入 API 应以项目实际 Godot 版本为准。</w:t>
      </w:r>
    </w:p>
    <w:p>
      <w:hyperlink r:id="rId23">
        <w:r>
          <w:rPr>
            <w:color w:val="1F4E79"/>
          </w:rPr>
          <w:t>https://docs.godotengine.org/en/stable/classes/class_spriteframes.html</w:t>
        </w:r>
      </w:hyperlink>
    </w:p>
    <w:p>
      <w:r>
        <w:t>本文所列帧数、fps、锚点容差、字号与卡片尺寸均为针对本项目的建议值。步态事实来自 R01，引擎能力来自 R02、R03；是否自然、美观以及是否符合本游戏风格，仍需按样片与原手机验收。</w:t>
      </w:r>
    </w:p>
    <w:p>
      <w:pPr>
        <w:pStyle w:val="Heading2"/>
      </w:pPr>
      <w:r>
        <w:t>本次结论</w:t>
      </w:r>
    </w:p>
    <w:p>
      <w:r>
        <w:t>十项反馈均已形成可追溯的问题与方案。登录模糊、装备回退、图标来源混用、机关程序绘制和古碑长文布局有直接源码依据；宠物偏位有静态锚点证据，仍需同包复现；骑乘连续性须以视频验收。本次没有将任何条目标记为已经修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247" w:bottom="964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年 10 月 24 日  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远征  移动端问题梳理与修改方案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宋体" w:hAnsi="宋体" w:eastAsia="宋体" w:cs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黑体" w:hAnsi="黑体" w:eastAsia="黑体" w:cs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宋体" w:hAnsi="宋体" w:eastAsia="宋体" w:cs="宋体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hyperlink" Target="https://horses.extension.org/horse-gallop/" TargetMode="External"/><Relationship Id="rId22" Type="http://schemas.openxmlformats.org/officeDocument/2006/relationships/hyperlink" Target="https://docs.godotengine.org/en/stable/tutorials/2d/2d_sprite_animation.html" TargetMode="External"/><Relationship Id="rId23" Type="http://schemas.openxmlformats.org/officeDocument/2006/relationships/hyperlink" Target="https://docs.godotengine.org/en/stable/classes/class_spritefram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远征移动端问题梳理与修改方案</dc:title>
  <dc:subject>基于十组用户截图与当前工作区静态核查的拟实施方案</dc:subject>
  <dc:creator>项目问题整理</dc:creator>
  <cp:keywords>远征 移动端 问题清单 修改方案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