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DFACA"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人工智能引论课程期中项目</w:t>
      </w:r>
    </w:p>
    <w:p w14:paraId="2237E183">
      <w:pPr>
        <w:pStyle w:val="31"/>
        <w:jc w:val="center"/>
      </w:pPr>
      <w:r>
        <w:t>AI 校园诉求智能分流与治理分析平台</w:t>
      </w:r>
    </w:p>
    <w:p w14:paraId="287A40D2">
      <w:pPr>
        <w:pStyle w:val="165"/>
        <w:jc w:val="center"/>
      </w:pPr>
      <w:r>
        <w:t>详细实施方案 · 四人分工 · 两周开发计划 · 可选第三周</w:t>
      </w:r>
    </w:p>
    <w:p w14:paraId="22DB9309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7A31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4472C4"/>
            <w:vAlign w:val="center"/>
          </w:tcPr>
          <w:p w14:paraId="02F0C36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项目目标</w:t>
            </w:r>
          </w:p>
        </w:tc>
        <w:tc>
          <w:tcPr>
            <w:tcW w:w="4873" w:type="dxa"/>
            <w:vAlign w:val="center"/>
          </w:tcPr>
          <w:p w14:paraId="46155D2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四人两周内完成可运行 Demo、可解释分类实验与基础治理分析；第三周仅作条件扩展。</w:t>
            </w:r>
          </w:p>
        </w:tc>
      </w:tr>
      <w:tr w14:paraId="3D3D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4472C4"/>
            <w:vAlign w:val="center"/>
          </w:tcPr>
          <w:p w14:paraId="060C32E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核心技术路线</w:t>
            </w:r>
          </w:p>
        </w:tc>
        <w:tc>
          <w:tcPr>
            <w:tcW w:w="4873" w:type="dxa"/>
            <w:vAlign w:val="center"/>
          </w:tcPr>
          <w:p w14:paraId="234B820E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TF-IDF + Logistic Regression + 规则判断 + Streamlit；摘要优先 LLM，提供本地兜底。</w:t>
            </w:r>
          </w:p>
        </w:tc>
      </w:tr>
      <w:tr w14:paraId="1FCDD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4472C4"/>
            <w:vAlign w:val="center"/>
          </w:tcPr>
          <w:p w14:paraId="190E19F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核心成果</w:t>
            </w:r>
          </w:p>
        </w:tc>
        <w:tc>
          <w:tcPr>
            <w:tcW w:w="4873" w:type="dxa"/>
            <w:vAlign w:val="center"/>
          </w:tcPr>
          <w:p w14:paraId="070A356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Demo、约 240–300 条标注样本、真实评估、错误分析、治理设计、PPT 与海报。</w:t>
            </w:r>
          </w:p>
        </w:tc>
      </w:tr>
      <w:tr w14:paraId="17A17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3" w:type="dxa"/>
            <w:shd w:val="clear" w:color="auto" w:fill="4472C4"/>
            <w:vAlign w:val="center"/>
          </w:tcPr>
          <w:p w14:paraId="0C88787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适用场景</w:t>
            </w:r>
          </w:p>
        </w:tc>
        <w:tc>
          <w:tcPr>
            <w:tcW w:w="4873" w:type="dxa"/>
            <w:vAlign w:val="center"/>
          </w:tcPr>
          <w:p w14:paraId="02E58482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宿舍设施、校园网络、食堂餐饮、教学设施、校园安全等学生诉求的自动分类与治理分析。</w:t>
            </w:r>
          </w:p>
        </w:tc>
      </w:tr>
    </w:tbl>
    <w:p w14:paraId="4CF4515B">
      <w:r>
        <w:br w:type="page"/>
      </w:r>
    </w:p>
    <w:p w14:paraId="0FCEC362">
      <w:pPr>
        <w:pStyle w:val="3"/>
      </w:pPr>
      <w:r>
        <w:t>一、项目定位与最终成果</w:t>
      </w:r>
    </w:p>
    <w:p w14:paraId="7CA88206">
      <w:r>
        <w:t>本方案按四人、两周排期。前两周以可运行 Demo、可解释的文本分类实验和基础治理统计为必交成果；聚类、重复诉求识别和更全面的方法比较只在多出一周时开展。这样可先保证核心流程和答辩材料完整。</w:t>
      </w:r>
    </w:p>
    <w:p w14:paraId="49535DB3">
      <w:pPr>
        <w:pStyle w:val="4"/>
      </w:pPr>
      <w:r>
        <w:t>1. 最终 Demo 形态</w:t>
      </w:r>
    </w:p>
    <w:p w14:paraId="7CB7963F">
      <w:r>
        <w:t>建议保留“学生端”和“管理端”两个页面，先完成最小可用流程。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515"/>
      </w:tblGrid>
      <w:tr w14:paraId="4844A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3C14BE1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模块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51EE407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主要功能</w:t>
            </w:r>
          </w:p>
        </w:tc>
        <w:tc>
          <w:tcPr>
            <w:tcW w:w="3515" w:type="dxa"/>
            <w:shd w:val="clear" w:color="auto" w:fill="2F5597"/>
            <w:vAlign w:val="center"/>
          </w:tcPr>
          <w:p w14:paraId="76DC01B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展示内容</w:t>
            </w:r>
          </w:p>
        </w:tc>
      </w:tr>
      <w:tr w14:paraId="5D4E8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4E1465E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学生端</w:t>
            </w:r>
          </w:p>
        </w:tc>
        <w:tc>
          <w:tcPr>
            <w:tcW w:w="3515" w:type="dxa"/>
            <w:vAlign w:val="center"/>
          </w:tcPr>
          <w:p w14:paraId="3D90B53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输入一段校园诉求，自动分析</w:t>
            </w:r>
          </w:p>
        </w:tc>
        <w:tc>
          <w:tcPr>
            <w:tcW w:w="3515" w:type="dxa"/>
            <w:vAlign w:val="center"/>
          </w:tcPr>
          <w:p w14:paraId="5950460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类别、紧急程度、责任部门、简洁摘要</w:t>
            </w:r>
          </w:p>
        </w:tc>
      </w:tr>
      <w:tr w14:paraId="62BE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689E327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管理端</w:t>
            </w:r>
          </w:p>
        </w:tc>
        <w:tc>
          <w:tcPr>
            <w:tcW w:w="3515" w:type="dxa"/>
            <w:shd w:val="clear" w:color="auto" w:fill="F3F6FA"/>
            <w:vAlign w:val="center"/>
          </w:tcPr>
          <w:p w14:paraId="064BD3EC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历史诉求统计与基础治理分析</w:t>
            </w:r>
          </w:p>
        </w:tc>
        <w:tc>
          <w:tcPr>
            <w:tcW w:w="3515" w:type="dxa"/>
            <w:shd w:val="clear" w:color="auto" w:fill="F3F6FA"/>
            <w:vAlign w:val="center"/>
          </w:tcPr>
          <w:p w14:paraId="6C3145F2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类别占比、每日趋势、高紧急诉求、模型评估；热点聚类为第三周可选。</w:t>
            </w:r>
          </w:p>
        </w:tc>
      </w:tr>
    </w:tbl>
    <w:p w14:paraId="0BA7D412">
      <w:pPr>
        <w:spacing w:after="20"/>
      </w:pPr>
    </w:p>
    <w:p w14:paraId="7C96C1E8">
      <w:pPr>
        <w:pStyle w:val="4"/>
      </w:pPr>
      <w:r>
        <w:t>2. 核心技术问题</w:t>
      </w:r>
    </w:p>
    <w:p w14:paraId="77EEDA5B">
      <w:pPr>
        <w:pStyle w:val="16"/>
        <w:spacing w:after="40"/>
      </w:pPr>
      <w:r>
        <w:t>诉求分类：判断属于宿舍设施、校园网络、食堂餐饮等哪一类。</w:t>
      </w:r>
    </w:p>
    <w:p w14:paraId="7965B6A1">
      <w:pPr>
        <w:pStyle w:val="16"/>
        <w:spacing w:after="40"/>
      </w:pPr>
      <w:r>
        <w:t>紧急度判断：将诉求分为低、中、高，辅助优先级排序。</w:t>
      </w:r>
    </w:p>
    <w:p w14:paraId="7BADF0DC">
      <w:pPr>
        <w:pStyle w:val="16"/>
        <w:spacing w:after="40"/>
      </w:pPr>
      <w:r>
        <w:t>责任部门推荐：根据类别映射到对应处理部门。</w:t>
      </w:r>
    </w:p>
    <w:p w14:paraId="16BF44E0">
      <w:pPr>
        <w:pStyle w:val="16"/>
        <w:spacing w:after="40"/>
      </w:pPr>
      <w:r>
        <w:t>摘要与规范化：调用大模型将口语化表达改写为简洁、规范的治理记录。</w:t>
      </w:r>
    </w:p>
    <w:p w14:paraId="472D817F">
      <w:pPr>
        <w:pStyle w:val="16"/>
        <w:spacing w:after="40"/>
      </w:pPr>
      <w:r>
        <w:t>治理分析：两周内通过类别占比、每日趋势和高紧急诉求统计发现主要问题；聚类和相似度分析放入可选第三周。</w:t>
      </w:r>
    </w:p>
    <w:p w14:paraId="45274095">
      <w:pPr>
        <w:pStyle w:val="3"/>
      </w:pPr>
      <w:r>
        <w:t>二、阶段 1：定义问题与标签体系</w:t>
      </w:r>
    </w:p>
    <w:p w14:paraId="57E732D4">
      <w:r>
        <w:t>这一阶段先不写模型。机器学习能够预测什么，取决于团队如何定义标签，因此标签体系必须先统一。建议先控制类别数量，避免一开始设计得过细。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118"/>
      </w:tblGrid>
      <w:tr w14:paraId="3A841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1F41A00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类别</w:t>
            </w:r>
          </w:p>
        </w:tc>
        <w:tc>
          <w:tcPr>
            <w:tcW w:w="3969" w:type="dxa"/>
            <w:shd w:val="clear" w:color="auto" w:fill="2F5597"/>
            <w:vAlign w:val="center"/>
          </w:tcPr>
          <w:p w14:paraId="0AAB35E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典型诉求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68825D0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建议责任部门</w:t>
            </w:r>
          </w:p>
        </w:tc>
      </w:tr>
      <w:tr w14:paraId="0D06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B00C59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宿舍设施</w:t>
            </w:r>
          </w:p>
        </w:tc>
        <w:tc>
          <w:tcPr>
            <w:tcW w:w="3969" w:type="dxa"/>
            <w:vAlign w:val="center"/>
          </w:tcPr>
          <w:p w14:paraId="68791D3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空调、洗衣机、水龙头、门锁等故障</w:t>
            </w:r>
          </w:p>
        </w:tc>
        <w:tc>
          <w:tcPr>
            <w:tcW w:w="3118" w:type="dxa"/>
            <w:vAlign w:val="center"/>
          </w:tcPr>
          <w:p w14:paraId="796F973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后勤维修</w:t>
            </w:r>
          </w:p>
        </w:tc>
      </w:tr>
      <w:tr w14:paraId="3892B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5CE45C5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校园网络</w:t>
            </w:r>
          </w:p>
        </w:tc>
        <w:tc>
          <w:tcPr>
            <w:tcW w:w="3969" w:type="dxa"/>
            <w:shd w:val="clear" w:color="auto" w:fill="F3F6FA"/>
            <w:vAlign w:val="center"/>
          </w:tcPr>
          <w:p w14:paraId="764AA38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WiFi、校园网认证、断网、网速异常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1F83DA4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网络中心</w:t>
            </w:r>
          </w:p>
        </w:tc>
      </w:tr>
      <w:tr w14:paraId="23E6B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33ACC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食堂餐饮</w:t>
            </w:r>
          </w:p>
        </w:tc>
        <w:tc>
          <w:tcPr>
            <w:tcW w:w="3969" w:type="dxa"/>
            <w:vAlign w:val="center"/>
          </w:tcPr>
          <w:p w14:paraId="77E0BE6D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卫生、价格、菜品、排队等</w:t>
            </w:r>
          </w:p>
        </w:tc>
        <w:tc>
          <w:tcPr>
            <w:tcW w:w="3118" w:type="dxa"/>
            <w:vAlign w:val="center"/>
          </w:tcPr>
          <w:p w14:paraId="261EAC96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餐饮管理</w:t>
            </w:r>
          </w:p>
        </w:tc>
      </w:tr>
      <w:tr w14:paraId="74DEF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7035BEB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教学设施</w:t>
            </w:r>
          </w:p>
        </w:tc>
        <w:tc>
          <w:tcPr>
            <w:tcW w:w="3969" w:type="dxa"/>
            <w:shd w:val="clear" w:color="auto" w:fill="F3F6FA"/>
            <w:vAlign w:val="center"/>
          </w:tcPr>
          <w:p w14:paraId="16D79826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投影仪、桌椅、教室空调等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7B19CA8C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教学保障</w:t>
            </w:r>
          </w:p>
        </w:tc>
      </w:tr>
      <w:tr w14:paraId="4BEF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D93B50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校园安全</w:t>
            </w:r>
          </w:p>
        </w:tc>
        <w:tc>
          <w:tcPr>
            <w:tcW w:w="3969" w:type="dxa"/>
            <w:vAlign w:val="center"/>
          </w:tcPr>
          <w:p w14:paraId="10744500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路灯、危险设施、道路隐患等</w:t>
            </w:r>
          </w:p>
        </w:tc>
        <w:tc>
          <w:tcPr>
            <w:tcW w:w="3118" w:type="dxa"/>
            <w:vAlign w:val="center"/>
          </w:tcPr>
          <w:p w14:paraId="0E09754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保卫处</w:t>
            </w:r>
          </w:p>
        </w:tc>
      </w:tr>
      <w:tr w14:paraId="11DAB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17AA8AE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其他</w:t>
            </w:r>
          </w:p>
        </w:tc>
        <w:tc>
          <w:tcPr>
            <w:tcW w:w="3969" w:type="dxa"/>
            <w:shd w:val="clear" w:color="auto" w:fill="F3F6FA"/>
            <w:vAlign w:val="center"/>
          </w:tcPr>
          <w:p w14:paraId="488CE09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无法归入上述类别的诉求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6F4E142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人工处理</w:t>
            </w:r>
          </w:p>
        </w:tc>
      </w:tr>
    </w:tbl>
    <w:p w14:paraId="6A2D1BBA">
      <w:pPr>
        <w:spacing w:after="20"/>
      </w:pPr>
    </w:p>
    <w:p w14:paraId="5F0497D0">
      <w:pPr>
        <w:pStyle w:val="4"/>
      </w:pPr>
      <w:r>
        <w:t>紧急程度建议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4082"/>
        <w:gridCol w:w="3402"/>
      </w:tblGrid>
      <w:tr w14:paraId="57F9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F5597"/>
            <w:vAlign w:val="center"/>
          </w:tcPr>
          <w:p w14:paraId="017A8F3E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等级</w:t>
            </w:r>
          </w:p>
        </w:tc>
        <w:tc>
          <w:tcPr>
            <w:tcW w:w="4082" w:type="dxa"/>
            <w:shd w:val="clear" w:color="auto" w:fill="2F5597"/>
            <w:vAlign w:val="center"/>
          </w:tcPr>
          <w:p w14:paraId="4BF1616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判断原则</w:t>
            </w:r>
          </w:p>
        </w:tc>
        <w:tc>
          <w:tcPr>
            <w:tcW w:w="3402" w:type="dxa"/>
            <w:shd w:val="clear" w:color="auto" w:fill="2F5597"/>
            <w:vAlign w:val="center"/>
          </w:tcPr>
          <w:p w14:paraId="6CD72A7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示例方向</w:t>
            </w:r>
          </w:p>
        </w:tc>
      </w:tr>
      <w:tr w14:paraId="4DE46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524FEA6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  <w:tc>
          <w:tcPr>
            <w:tcW w:w="4082" w:type="dxa"/>
            <w:vAlign w:val="center"/>
          </w:tcPr>
          <w:p w14:paraId="1AB4E03D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存在安全风险、影响范围大、需立即响应</w:t>
            </w:r>
          </w:p>
        </w:tc>
        <w:tc>
          <w:tcPr>
            <w:tcW w:w="3402" w:type="dxa"/>
            <w:vAlign w:val="center"/>
          </w:tcPr>
          <w:p w14:paraId="5EBF5E6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漏电、火情、严重安全隐患、大面积故障</w:t>
            </w:r>
          </w:p>
        </w:tc>
      </w:tr>
      <w:tr w14:paraId="2A03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3F6FA"/>
            <w:vAlign w:val="center"/>
          </w:tcPr>
          <w:p w14:paraId="1466D8BB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  <w:tc>
          <w:tcPr>
            <w:tcW w:w="4082" w:type="dxa"/>
            <w:shd w:val="clear" w:color="auto" w:fill="F3F6FA"/>
            <w:vAlign w:val="center"/>
          </w:tcPr>
          <w:p w14:paraId="1057332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明显影响正常学习生活，但无直接安全风险</w:t>
            </w:r>
          </w:p>
        </w:tc>
        <w:tc>
          <w:tcPr>
            <w:tcW w:w="3402" w:type="dxa"/>
            <w:shd w:val="clear" w:color="auto" w:fill="F3F6FA"/>
            <w:vAlign w:val="center"/>
          </w:tcPr>
          <w:p w14:paraId="7C1F26C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宿舍设施损坏、持续断网、设备无法使用</w:t>
            </w:r>
          </w:p>
        </w:tc>
      </w:tr>
      <w:tr w14:paraId="772AF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97834E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</w:t>
            </w:r>
          </w:p>
        </w:tc>
        <w:tc>
          <w:tcPr>
            <w:tcW w:w="4082" w:type="dxa"/>
            <w:vAlign w:val="center"/>
          </w:tcPr>
          <w:p w14:paraId="4F119A0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一般建议、改善类、体验优化类</w:t>
            </w:r>
          </w:p>
        </w:tc>
        <w:tc>
          <w:tcPr>
            <w:tcW w:w="3402" w:type="dxa"/>
            <w:vAlign w:val="center"/>
          </w:tcPr>
          <w:p w14:paraId="4402039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菜品建议、环境改善、服务体验意见</w:t>
            </w:r>
          </w:p>
        </w:tc>
      </w:tr>
    </w:tbl>
    <w:p w14:paraId="775F1D77">
      <w:pPr>
        <w:spacing w:after="20"/>
      </w:pPr>
    </w:p>
    <w:p w14:paraId="5F8B43ED">
      <w:r>
        <w:t>阶段成果：形成一份统一的标签说明表，明确“什么属于哪一类、什么算高/中/低、由谁负责”。</w:t>
      </w:r>
    </w:p>
    <w:p w14:paraId="7F87E42D">
      <w:pPr>
        <w:pStyle w:val="3"/>
      </w:pPr>
      <w:r>
        <w:t>三、阶段 2：构建与标注数据集</w:t>
      </w:r>
    </w:p>
    <w:p w14:paraId="736A8D75">
      <w:r>
        <w:t>两周内建议完成约 240–300 条去标识化或自行构造的中文诉求样本。四人各负责约 60–75 条，并交叉复核；各类别尽量平衡。若已有合规数据，可在不影响评估和联调的前提下增加样本。</w:t>
      </w:r>
    </w:p>
    <w:p w14:paraId="56BE4C47">
      <w:pPr>
        <w:shd w:val="clear" w:fill="F2F2F2"/>
        <w:spacing w:before="80" w:after="120"/>
        <w:ind w:left="397" w:right="397"/>
      </w:pPr>
      <w:r>
        <w:rPr>
          <w:rFonts w:ascii="Noto Sans Mono CJK SC" w:hAnsi="Noto Sans Mono CJK SC" w:eastAsia="Noto Sans Mono CJK SC"/>
          <w:sz w:val="18"/>
        </w:rPr>
        <w:t>text,label,urgency,department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>宿舍空调坏了三天了,宿舍设施,中,后勤维修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>校园网晚上总是断,校园网络,中,网络中心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>食堂发现食品卫生问题,食堂餐饮,高,餐饮管理</w:t>
      </w:r>
    </w:p>
    <w:p w14:paraId="095DB62E">
      <w:pPr>
        <w:pStyle w:val="4"/>
      </w:pPr>
      <w:r>
        <w:t>数据集制作注意事项</w:t>
      </w:r>
    </w:p>
    <w:p w14:paraId="3805F94B">
      <w:pPr>
        <w:pStyle w:val="16"/>
        <w:spacing w:after="40"/>
      </w:pPr>
      <w:r>
        <w:t>六个类别尽量均衡，目标每类约 40–50 条；记录样本来源和标注规则。</w:t>
      </w:r>
    </w:p>
    <w:p w14:paraId="176C23CC">
      <w:pPr>
        <w:pStyle w:val="16"/>
        <w:spacing w:after="40"/>
      </w:pPr>
      <w:r>
        <w:t>语言表达要有差异：正式、口语、带情绪、短句、长句都要包含。</w:t>
      </w:r>
    </w:p>
    <w:p w14:paraId="7E99A7B1">
      <w:pPr>
        <w:pStyle w:val="16"/>
        <w:spacing w:after="40"/>
      </w:pPr>
      <w:r>
        <w:t>不要让类别只靠一个“暗号词”区分，例如所有网络类都出现“WiFi”。</w:t>
      </w:r>
    </w:p>
    <w:p w14:paraId="0C654555">
      <w:pPr>
        <w:pStyle w:val="16"/>
        <w:spacing w:after="40"/>
      </w:pPr>
      <w:r>
        <w:t>建议留 20% 左右样本做测试集，不参与训练。</w:t>
      </w:r>
    </w:p>
    <w:p w14:paraId="67C2BE5D">
      <w:pPr>
        <w:pStyle w:val="16"/>
        <w:spacing w:after="40"/>
      </w:pPr>
      <w:r>
        <w:t>标注不一致时先讨论规则，而不是让每个人按自己的理解随意标。</w:t>
      </w:r>
    </w:p>
    <w:p w14:paraId="34323049">
      <w:pPr>
        <w:pStyle w:val="3"/>
      </w:pPr>
      <w:r>
        <w:t>四、前期必须学习的算法知识</w:t>
      </w:r>
    </w:p>
    <w:p w14:paraId="57728D6E">
      <w:r>
        <w:t>不建议从头学习整本机器学习教材，而是围绕项目按优先级学习。以下内容足以支撑一个完整、可解释的课程项目。</w:t>
      </w:r>
    </w:p>
    <w:p w14:paraId="06F62258">
      <w:pPr>
        <w:pStyle w:val="4"/>
      </w:pPr>
      <w:r>
        <w:t>1. 文本向量化与 TF-IDF（必须）</w:t>
      </w:r>
    </w:p>
    <w:p w14:paraId="72FD565D">
      <w:r>
        <w:t>机器学习模型不能直接处理中文句子，因此需要先把文本转换为数字向量。TF-IDF 同时考虑“词在当前文本中出现得多不多”和“这个词在整个数据集中是否具有区分度”。</w:t>
      </w:r>
    </w:p>
    <w:p w14:paraId="6C36015E">
      <w:r>
        <w:t>核心公式：TF-IDF = TF × IDF，其中 IDF(t) = log(N / df(t))。高频但普遍出现的词权重会较低，而能够区分类别的词通常权重较高。</w:t>
      </w:r>
    </w:p>
    <w:p w14:paraId="07A880CA">
      <w:r>
        <w:t>需要真正理解：文本为什么要向量化、TF 与 IDF 各表示什么、最终得到的向量如何作为分类器输入。</w:t>
      </w:r>
    </w:p>
    <w:p w14:paraId="665407A7">
      <w:pPr>
        <w:pStyle w:val="4"/>
      </w:pPr>
      <w:r>
        <w:t>2. Logistic Regression（必须）</w:t>
      </w:r>
    </w:p>
    <w:p w14:paraId="7EA7E818">
      <w:r>
        <w:t>虽然名称中有“Regression”，Logistic Regression 常用于分类。它接收 TF-IDF 向量，学习不同特征与类别之间的关系，并输出各类别对应的概率或得分。</w:t>
      </w:r>
    </w:p>
    <w:p w14:paraId="0B20B0EE">
      <w:pPr>
        <w:pStyle w:val="16"/>
        <w:spacing w:after="40"/>
      </w:pPr>
      <w:r>
        <w:t>特征：TF-IDF 产生的数值。</w:t>
      </w:r>
    </w:p>
    <w:p w14:paraId="057F6589">
      <w:pPr>
        <w:pStyle w:val="16"/>
        <w:spacing w:after="40"/>
      </w:pPr>
      <w:r>
        <w:t>权重：模型学习“哪些词更支持哪个类别”。</w:t>
      </w:r>
    </w:p>
    <w:p w14:paraId="72A3E47B">
      <w:pPr>
        <w:pStyle w:val="16"/>
        <w:spacing w:after="40"/>
      </w:pPr>
      <w:r>
        <w:t>预测：选择得分最高的类别作为最终结果。</w:t>
      </w:r>
    </w:p>
    <w:p w14:paraId="057405F5">
      <w:pPr>
        <w:pStyle w:val="4"/>
      </w:pPr>
      <w:r>
        <w:t>3. Naive Bayes（建议）</w:t>
      </w:r>
    </w:p>
    <w:p w14:paraId="1E6CAEC8">
      <w:r>
        <w:t>建议作为对照模型。它实现简单、适合文本分类，也便于在答辩中形成“关键词规则 vs 传统机器学习模型”的比较。最终准确率必须使用你们真实实验得到的数据，不要预设结果。</w:t>
      </w:r>
    </w:p>
    <w:p w14:paraId="2F372AEB">
      <w:pPr>
        <w:pStyle w:val="4"/>
      </w:pPr>
      <w:r>
        <w:t>4. KMeans 聚类（可选第三周）</w:t>
      </w:r>
    </w:p>
    <w:p w14:paraId="38CE08D5">
      <w:r>
        <w:t>用于发现相似或重复诉求。例如大量“宿舍区断网”诉求可能属于同一个集中事件。管理端可展示“近期热点簇”和每个簇包含的诉求数量，从“自动分类”进一步升级为“治理分析”。</w:t>
      </w:r>
    </w:p>
    <w:p w14:paraId="4EAD43C7">
      <w:pPr>
        <w:pStyle w:val="4"/>
      </w:pPr>
      <w:r>
        <w:t>5. 余弦相似度（可选第三周）</w:t>
      </w:r>
    </w:p>
    <w:p w14:paraId="49039C19">
      <w:r>
        <w:t>用于衡量两段向量化文本之间的相似程度。公式为 cosθ = (A·B) / (||A|| ||B||)。可用于重复诉求检测，也可辅助聚类结果解释。</w:t>
      </w:r>
    </w:p>
    <w:p w14:paraId="2AC6370B">
      <w:pPr>
        <w:pStyle w:val="4"/>
      </w:pPr>
      <w:r>
        <w:t>6. 模型评估（必须）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288"/>
        <w:gridCol w:w="3685"/>
      </w:tblGrid>
      <w:tr w14:paraId="309AE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F5597"/>
            <w:vAlign w:val="center"/>
          </w:tcPr>
          <w:p w14:paraId="07F2C97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指标/工具</w:t>
            </w:r>
          </w:p>
        </w:tc>
        <w:tc>
          <w:tcPr>
            <w:tcW w:w="3288" w:type="dxa"/>
            <w:shd w:val="clear" w:color="auto" w:fill="2F5597"/>
            <w:vAlign w:val="center"/>
          </w:tcPr>
          <w:p w14:paraId="10CB8D5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用途</w:t>
            </w:r>
          </w:p>
        </w:tc>
        <w:tc>
          <w:tcPr>
            <w:tcW w:w="3685" w:type="dxa"/>
            <w:shd w:val="clear" w:color="auto" w:fill="2F5597"/>
            <w:vAlign w:val="center"/>
          </w:tcPr>
          <w:p w14:paraId="1FB37EA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本项目中的意义</w:t>
            </w:r>
          </w:p>
        </w:tc>
      </w:tr>
      <w:tr w14:paraId="167C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4D0E7F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Accuracy</w:t>
            </w:r>
          </w:p>
        </w:tc>
        <w:tc>
          <w:tcPr>
            <w:tcW w:w="3288" w:type="dxa"/>
            <w:vAlign w:val="center"/>
          </w:tcPr>
          <w:p w14:paraId="7FECF34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预测正确数 / 总样本数</w:t>
            </w:r>
          </w:p>
        </w:tc>
        <w:tc>
          <w:tcPr>
            <w:tcW w:w="3685" w:type="dxa"/>
            <w:vAlign w:val="center"/>
          </w:tcPr>
          <w:p w14:paraId="1BE4A4C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给出整体分类正确率</w:t>
            </w:r>
          </w:p>
        </w:tc>
      </w:tr>
      <w:tr w14:paraId="77C5C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4D59176C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混淆矩阵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60F87C2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观察哪些类别容易互相误判</w:t>
            </w:r>
          </w:p>
        </w:tc>
        <w:tc>
          <w:tcPr>
            <w:tcW w:w="3685" w:type="dxa"/>
            <w:shd w:val="clear" w:color="auto" w:fill="F3F6FA"/>
            <w:vAlign w:val="center"/>
          </w:tcPr>
          <w:p w14:paraId="6DFFACB2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定位模型最常见错误</w:t>
            </w:r>
          </w:p>
        </w:tc>
      </w:tr>
      <w:tr w14:paraId="20CB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74A0C6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Precision / Recall / F1</w:t>
            </w:r>
          </w:p>
        </w:tc>
        <w:tc>
          <w:tcPr>
            <w:tcW w:w="3288" w:type="dxa"/>
            <w:vAlign w:val="center"/>
          </w:tcPr>
          <w:p w14:paraId="46B992A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更细致评价不同类别</w:t>
            </w:r>
          </w:p>
        </w:tc>
        <w:tc>
          <w:tcPr>
            <w:tcW w:w="3685" w:type="dxa"/>
            <w:vAlign w:val="center"/>
          </w:tcPr>
          <w:p w14:paraId="2A82CCA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作为第二层加分指标</w:t>
            </w:r>
          </w:p>
        </w:tc>
      </w:tr>
      <w:tr w14:paraId="028C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3F6FA"/>
            <w:vAlign w:val="center"/>
          </w:tcPr>
          <w:p w14:paraId="48EB26B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典型错误案例</w:t>
            </w:r>
          </w:p>
        </w:tc>
        <w:tc>
          <w:tcPr>
            <w:tcW w:w="3288" w:type="dxa"/>
            <w:shd w:val="clear" w:color="auto" w:fill="F3F6FA"/>
            <w:vAlign w:val="center"/>
          </w:tcPr>
          <w:p w14:paraId="0B65FA6E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人工分析错误样本</w:t>
            </w:r>
          </w:p>
        </w:tc>
        <w:tc>
          <w:tcPr>
            <w:tcW w:w="3685" w:type="dxa"/>
            <w:shd w:val="clear" w:color="auto" w:fill="F3F6FA"/>
            <w:vAlign w:val="center"/>
          </w:tcPr>
          <w:p w14:paraId="7769ADC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解释模型局限并提出改进</w:t>
            </w:r>
          </w:p>
        </w:tc>
      </w:tr>
    </w:tbl>
    <w:p w14:paraId="02476361">
      <w:pPr>
        <w:spacing w:after="20"/>
      </w:pPr>
    </w:p>
    <w:p w14:paraId="7F491278">
      <w:pPr>
        <w:pStyle w:val="3"/>
      </w:pPr>
      <w:r>
        <w:t>五、系统技术路线与开发顺序</w:t>
      </w:r>
    </w:p>
    <w:p w14:paraId="57D1310E">
      <w:r>
        <w:t>按“数据与分类先跑通、接口及页面并行、最后集中联调”的顺序推进。第 5 天前形成第一版分类模型和统一返回字段，避免前端等待模型完成。</w:t>
      </w:r>
    </w:p>
    <w:p w14:paraId="10FB0DF3">
      <w:pPr>
        <w:shd w:val="clear" w:fill="F2F2F2"/>
        <w:spacing w:before="80" w:after="120"/>
        <w:ind w:left="397" w:right="397"/>
      </w:pPr>
      <w:r>
        <w:rPr>
          <w:rFonts w:ascii="Noto Sans Mono CJK SC" w:hAnsi="Noto Sans Mono CJK SC" w:eastAsia="Noto Sans Mono CJK SC"/>
          <w:sz w:val="18"/>
        </w:rPr>
        <w:t>dataset.csv → 数据清洗与划分 → TF-IDF → Logistic Regression → Accuracy 与混淆矩阵 → analyze(text) → 紧急度规则与部门映射 → 摘要 → Streamlit 学生端与管理端 → 基础统计。可选第三周再加入 KMeans、相似度与方法对照。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</w:p>
    <w:p w14:paraId="4183DE55">
      <w:pPr>
        <w:pStyle w:val="4"/>
      </w:pPr>
      <w:r>
        <w:t>建议项目目录</w:t>
      </w:r>
    </w:p>
    <w:p w14:paraId="2A95F6F6">
      <w:pPr>
        <w:shd w:val="clear" w:fill="F2F2F2"/>
        <w:spacing w:before="80" w:after="120"/>
        <w:ind w:left="397" w:right="397"/>
      </w:pPr>
      <w:r>
        <w:rPr>
          <w:rFonts w:ascii="Noto Sans Mono CJK SC" w:hAnsi="Noto Sans Mono CJK SC" w:eastAsia="Noto Sans Mono CJK SC"/>
          <w:sz w:val="18"/>
        </w:rPr>
        <w:t>campus_ai/：data/complaints.csv；models/分类模型与向量器；src/train.py、predict.py、urgency.py、department.py、summary.py；app.py；requirements.txt；README.md。可选第三周再加入 clustering.py。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</w:p>
    <w:p w14:paraId="3E77B4A5">
      <w:pPr>
        <w:pStyle w:val="4"/>
      </w:pPr>
      <w:r>
        <w:t>统一分析函数建议</w:t>
      </w:r>
    </w:p>
    <w:p w14:paraId="5F32A764">
      <w:r>
        <w:t>第 5 天前约定 analyze(text) 的返回字段，第 8 天前完成可调用实现，返回类别、紧急度、责任部门和摘要。接口固定后，模型与页面可并行完善。</w:t>
      </w:r>
    </w:p>
    <w:p w14:paraId="0091E8DD">
      <w:pPr>
        <w:shd w:val="clear" w:fill="F2F2F2"/>
        <w:spacing w:before="80" w:after="120"/>
        <w:ind w:left="397" w:right="397"/>
      </w:pPr>
      <w:r>
        <w:rPr>
          <w:rFonts w:ascii="Noto Sans Mono CJK SC" w:hAnsi="Noto Sans Mono CJK SC" w:eastAsia="Noto Sans Mono CJK SC"/>
          <w:sz w:val="18"/>
        </w:rPr>
        <w:t>{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 xml:space="preserve">  "category": "校园网络",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 xml:space="preserve">  "urgency": "中",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 xml:space="preserve">  "department": "网络中心",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 xml:space="preserve">  "summary": "学生反映宿舍网络无法正常连接。"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t>}</w:t>
      </w:r>
    </w:p>
    <w:p w14:paraId="5BE7FF91">
      <w:pPr>
        <w:pStyle w:val="3"/>
      </w:pPr>
      <w:r>
        <w:t>六、大模型在项目中的合理角色</w:t>
      </w:r>
    </w:p>
    <w:p w14:paraId="390479C5">
      <w:r>
        <w:t>传统机器学习承担核心分类，规则承担紧急度判断和部门映射。摘要可调用大模型 API；若接口、费用或网络受限，使用截取原文与规则清理的本地兜底方案，确保 Demo 可离线演示。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8"/>
        <w:gridCol w:w="5669"/>
      </w:tblGrid>
      <w:tr w14:paraId="39F1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2F5597"/>
            <w:vAlign w:val="center"/>
          </w:tcPr>
          <w:p w14:paraId="75AFAEB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任务</w:t>
            </w:r>
          </w:p>
        </w:tc>
        <w:tc>
          <w:tcPr>
            <w:tcW w:w="5669" w:type="dxa"/>
            <w:shd w:val="clear" w:color="auto" w:fill="2F5597"/>
            <w:vAlign w:val="center"/>
          </w:tcPr>
          <w:p w14:paraId="1826800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建议方法</w:t>
            </w:r>
          </w:p>
        </w:tc>
      </w:tr>
      <w:tr w14:paraId="43F46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48BD42D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诉求类别</w:t>
            </w:r>
          </w:p>
        </w:tc>
        <w:tc>
          <w:tcPr>
            <w:tcW w:w="5669" w:type="dxa"/>
            <w:vAlign w:val="center"/>
          </w:tcPr>
          <w:p w14:paraId="6FCBF72C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TF-IDF + Logistic Regression</w:t>
            </w:r>
          </w:p>
        </w:tc>
      </w:tr>
      <w:tr w14:paraId="7E21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3F6FA"/>
            <w:vAlign w:val="center"/>
          </w:tcPr>
          <w:p w14:paraId="78CABB1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紧急程度</w:t>
            </w:r>
          </w:p>
        </w:tc>
        <w:tc>
          <w:tcPr>
            <w:tcW w:w="5669" w:type="dxa"/>
            <w:shd w:val="clear" w:color="auto" w:fill="F3F6FA"/>
            <w:vAlign w:val="center"/>
          </w:tcPr>
          <w:p w14:paraId="73B286B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规则 + 简单分类模型</w:t>
            </w:r>
          </w:p>
        </w:tc>
      </w:tr>
      <w:tr w14:paraId="7D02E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48E543B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责任部门</w:t>
            </w:r>
          </w:p>
        </w:tc>
        <w:tc>
          <w:tcPr>
            <w:tcW w:w="5669" w:type="dxa"/>
            <w:vAlign w:val="center"/>
          </w:tcPr>
          <w:p w14:paraId="4682D9AE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类别 → 部门映射表</w:t>
            </w:r>
          </w:p>
        </w:tc>
      </w:tr>
      <w:tr w14:paraId="0F25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3F6FA"/>
            <w:vAlign w:val="center"/>
          </w:tcPr>
          <w:p w14:paraId="10265C0C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热点与重复诉求</w:t>
            </w:r>
          </w:p>
        </w:tc>
        <w:tc>
          <w:tcPr>
            <w:tcW w:w="5669" w:type="dxa"/>
            <w:shd w:val="clear" w:color="auto" w:fill="F3F6FA"/>
            <w:vAlign w:val="center"/>
          </w:tcPr>
          <w:p w14:paraId="47A627C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可选第三周：KMeans / 余弦相似度</w:t>
            </w:r>
          </w:p>
        </w:tc>
      </w:tr>
      <w:tr w14:paraId="47C9D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vAlign w:val="center"/>
          </w:tcPr>
          <w:p w14:paraId="206787C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热点与重复诉求</w:t>
            </w:r>
          </w:p>
        </w:tc>
        <w:tc>
          <w:tcPr>
            <w:tcW w:w="5669" w:type="dxa"/>
            <w:vAlign w:val="center"/>
          </w:tcPr>
          <w:p w14:paraId="108574F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KMeans / 余弦相似度</w:t>
            </w:r>
          </w:p>
        </w:tc>
      </w:tr>
      <w:tr w14:paraId="5AC19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8" w:type="dxa"/>
            <w:shd w:val="clear" w:color="auto" w:fill="F3F6FA"/>
            <w:vAlign w:val="center"/>
          </w:tcPr>
          <w:p w14:paraId="14B956B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管理端统计</w:t>
            </w:r>
          </w:p>
        </w:tc>
        <w:tc>
          <w:tcPr>
            <w:tcW w:w="5669" w:type="dxa"/>
            <w:shd w:val="clear" w:color="auto" w:fill="F3F6FA"/>
            <w:vAlign w:val="center"/>
          </w:tcPr>
          <w:p w14:paraId="71EAF98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pandas + matplotlib / Streamlit</w:t>
            </w:r>
          </w:p>
        </w:tc>
      </w:tr>
    </w:tbl>
    <w:p w14:paraId="053C6375">
      <w:pPr>
        <w:spacing w:after="20"/>
      </w:pPr>
    </w:p>
    <w:p w14:paraId="29B946D6">
      <w:pPr>
        <w:pStyle w:val="3"/>
      </w:pPr>
      <w:r>
        <w:t>七、Streamlit Demo 设计</w:t>
      </w:r>
    </w:p>
    <w:p w14:paraId="7FE37D42">
      <w:pPr>
        <w:pStyle w:val="4"/>
      </w:pPr>
      <w:r>
        <w:t>学生端</w:t>
      </w:r>
    </w:p>
    <w:p w14:paraId="71221AD0">
      <w:pPr>
        <w:pStyle w:val="16"/>
        <w:spacing w:after="40"/>
      </w:pPr>
      <w:r>
        <w:t>文本框：输入校园诉求。</w:t>
      </w:r>
    </w:p>
    <w:p w14:paraId="3598A431">
      <w:pPr>
        <w:pStyle w:val="16"/>
        <w:spacing w:after="40"/>
      </w:pPr>
      <w:r>
        <w:t>“提交”按钮：触发分析。</w:t>
      </w:r>
    </w:p>
    <w:p w14:paraId="4D44D5F4">
      <w:pPr>
        <w:pStyle w:val="16"/>
        <w:spacing w:after="40"/>
      </w:pPr>
      <w:r>
        <w:t>结果卡片：类别、紧急程度、责任部门、摘要。</w:t>
      </w:r>
    </w:p>
    <w:p w14:paraId="0F623CA9">
      <w:pPr>
        <w:pStyle w:val="16"/>
        <w:spacing w:after="40"/>
      </w:pPr>
      <w:r>
        <w:t>显示低置信度或高紧急度时的“建议人工复核”提示，作为误分类风险控制。</w:t>
      </w:r>
    </w:p>
    <w:p w14:paraId="4AE02669">
      <w:pPr>
        <w:pStyle w:val="4"/>
      </w:pPr>
      <w:r>
        <w:t>管理端</w:t>
      </w:r>
    </w:p>
    <w:p w14:paraId="3DD77998">
      <w:pPr>
        <w:pStyle w:val="16"/>
        <w:spacing w:after="40"/>
      </w:pPr>
      <w:r>
        <w:t>本周诉求总量、高紧急诉求数量、最高频类别。</w:t>
      </w:r>
    </w:p>
    <w:p w14:paraId="0292E9C5">
      <w:pPr>
        <w:pStyle w:val="16"/>
        <w:spacing w:after="40"/>
      </w:pPr>
      <w:r>
        <w:t>各类别诉求占比、每日诉求趋势、各部门处理量。</w:t>
      </w:r>
    </w:p>
    <w:p w14:paraId="40CFB20C">
      <w:pPr>
        <w:pStyle w:val="16"/>
        <w:spacing w:after="40"/>
      </w:pPr>
      <w:r>
        <w:t>按类别和日期统计的近期高频问题；相似诉求簇留作可选第三周功能。</w:t>
      </w:r>
    </w:p>
    <w:p w14:paraId="731BC975">
      <w:pPr>
        <w:pStyle w:val="16"/>
        <w:spacing w:after="40"/>
      </w:pPr>
      <w:r>
        <w:t>模型 Accuracy、混淆矩阵和典型错误案例。</w:t>
      </w:r>
    </w:p>
    <w:p w14:paraId="74113E4E">
      <w:pPr>
        <w:pStyle w:val="3"/>
      </w:pPr>
      <w:r>
        <w:t>八、四人小组建议分工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28"/>
        <w:gridCol w:w="3118"/>
      </w:tblGrid>
      <w:tr w14:paraId="2E53A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F5597"/>
            <w:vAlign w:val="center"/>
          </w:tcPr>
          <w:p w14:paraId="20C3556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角色</w:t>
            </w:r>
          </w:p>
        </w:tc>
        <w:tc>
          <w:tcPr>
            <w:tcW w:w="3628" w:type="dxa"/>
            <w:shd w:val="clear" w:color="auto" w:fill="2F5597"/>
            <w:vAlign w:val="center"/>
          </w:tcPr>
          <w:p w14:paraId="2DD04C8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主任务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36FE70F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交付与协作</w:t>
            </w:r>
          </w:p>
        </w:tc>
      </w:tr>
      <w:tr w14:paraId="30DD5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6B2D69B">
            <w:pPr>
              <w:spacing w:after="0" w:line="264" w:lineRule="auto"/>
              <w:rPr>
                <w:rFonts w:ascii="Noto Sans CJK SC" w:hAnsi="Noto Sans CJK SC" w:eastAsia="Noto Sans CJK SC"/>
                <w:b w:val="0"/>
                <w:sz w:val="18"/>
              </w:rPr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 A：分类模型与集成</w:t>
            </w:r>
          </w:p>
        </w:tc>
        <w:tc>
          <w:tcPr>
            <w:tcW w:w="3628" w:type="dxa"/>
            <w:vAlign w:val="center"/>
          </w:tcPr>
          <w:p w14:paraId="4665131F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样本收集，用 TF-IDF 和 Logistic Regression 训练主分类模型，固定训练集与测试集，保存模型和向量器。</w:t>
            </w:r>
          </w:p>
        </w:tc>
        <w:tc>
          <w:tcPr>
            <w:tcW w:w="3118" w:type="dxa"/>
            <w:vAlign w:val="center"/>
          </w:tcPr>
          <w:p w14:paraId="60A35185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第 5 天交第一版模型；第 11 天汇总最终评估结果，并与 C 对接预测接口。</w:t>
            </w:r>
          </w:p>
        </w:tc>
      </w:tr>
      <w:tr w14:paraId="26625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6FA"/>
            <w:vAlign w:val="center"/>
          </w:tcPr>
          <w:p w14:paraId="5ACC99ED">
            <w:pPr>
              <w:spacing w:after="0" w:line="264" w:lineRule="auto"/>
              <w:rPr>
                <w:rFonts w:ascii="Noto Sans CJK SC" w:hAnsi="Noto Sans CJK SC" w:eastAsia="Noto Sans CJK SC"/>
                <w:b w:val="0"/>
                <w:sz w:val="18"/>
              </w:rPr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 B：数据与特征实验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3F8D5A0E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样本收集、组织四人标注的数据，清洗并检查类别分布；实验分词方式、词或字的 TF-IDF 特征，记录它们对分类结果的影响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0CC342C2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第 4 天交首批数据，第 7 天交最终数据和标注说明；负责紧急度规则、部门映射。</w:t>
            </w:r>
          </w:p>
        </w:tc>
      </w:tr>
      <w:tr w14:paraId="0D6CF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4C8E36C">
            <w:pPr>
              <w:spacing w:after="0" w:line="264" w:lineRule="auto"/>
              <w:rPr>
                <w:rFonts w:ascii="Noto Sans CJK SC" w:hAnsi="Noto Sans CJK SC" w:eastAsia="Noto Sans CJK SC"/>
                <w:b w:val="0"/>
                <w:sz w:val="18"/>
              </w:rPr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 C：对照模型与 Demo</w:t>
            </w:r>
          </w:p>
        </w:tc>
        <w:tc>
          <w:tcPr>
            <w:tcW w:w="3628" w:type="dxa"/>
            <w:vAlign w:val="center"/>
          </w:tcPr>
          <w:p w14:paraId="50B33CBF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样本收集，训练 Naive Bayes 对照模型，与 A 使用同一测试集比较结果；把选定模型接入 analyze(text)。</w:t>
            </w:r>
          </w:p>
        </w:tc>
        <w:tc>
          <w:tcPr>
            <w:tcW w:w="3118" w:type="dxa"/>
            <w:vAlign w:val="center"/>
          </w:tcPr>
          <w:p w14:paraId="552983FC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第 8 天交可点击页面，第 11 天交联调后的 Streamlit 双端和基础统计图表。</w:t>
            </w:r>
          </w:p>
        </w:tc>
      </w:tr>
      <w:tr w14:paraId="67F09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3F6FA"/>
            <w:vAlign w:val="center"/>
          </w:tcPr>
          <w:p w14:paraId="5E49DB17">
            <w:pPr>
              <w:spacing w:after="0" w:line="264" w:lineRule="auto"/>
              <w:rPr>
                <w:rFonts w:ascii="Noto Sans CJK SC" w:hAnsi="Noto Sans CJK SC" w:eastAsia="Noto Sans CJK SC"/>
                <w:b w:val="0"/>
                <w:sz w:val="18"/>
              </w:rPr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成员 D：模型评估与摘要</w:t>
            </w:r>
          </w:p>
        </w:tc>
        <w:tc>
          <w:tcPr>
            <w:tcW w:w="3628" w:type="dxa"/>
            <w:shd w:val="clear" w:color="auto" w:fill="F3F6FA"/>
            <w:vAlign w:val="center"/>
          </w:tcPr>
          <w:p w14:paraId="2B1D5DC2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编写评估代码，生成混淆矩阵和各类别指标；分析 3–5 个误判案例，</w:t>
            </w:r>
            <w:bookmarkStart w:id="0" w:name="_GoBack"/>
            <w:bookmarkEnd w:id="0"/>
            <w:r>
              <w:rPr>
                <w:rFonts w:hint="eastAsia" w:eastAsia="宋体"/>
                <w:b w:val="0"/>
                <w:sz w:val="18"/>
                <w:lang w:val="en-US" w:eastAsia="zh-CN"/>
              </w:rPr>
              <w:t>并与 A、C 讨论改进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0AF47EF9">
            <w:pPr>
              <w:spacing w:after="0" w:line="264" w:lineRule="auto"/>
              <w:rPr>
                <w:rFonts w:hint="eastAsia" w:eastAsia="宋体"/>
                <w:b w:val="0"/>
                <w:sz w:val="18"/>
                <w:lang w:val="en-US" w:eastAsia="zh-CN"/>
              </w:rPr>
            </w:pPr>
            <w:r>
              <w:rPr>
                <w:rFonts w:hint="eastAsia" w:eastAsia="宋体"/>
                <w:b w:val="0"/>
                <w:sz w:val="18"/>
                <w:lang w:val="en-US" w:eastAsia="zh-CN"/>
              </w:rPr>
              <w:t>第 9 天交摘要功能及本地兜底方案；第 12 天完成 PPT、海报和 README 初稿。</w:t>
            </w:r>
          </w:p>
        </w:tc>
      </w:tr>
    </w:tbl>
    <w:p w14:paraId="78E916D1">
      <w:pPr>
        <w:spacing w:after="20"/>
      </w:pPr>
    </w:p>
    <w:p w14:paraId="446B52A2">
      <w:r>
        <w:t>四人都应理解“TF-IDF → Logistic Regression → 模型评估”的基本链路；其中至少两人能独立讲解实验和错误案例。每项交付物设置一名主责和一名复核，避免单点依赖。</w:t>
      </w:r>
    </w:p>
    <w:p w14:paraId="1FBD07D8">
      <w:pPr>
        <w:pStyle w:val="3"/>
      </w:pPr>
      <w:r>
        <w:t>九、两周执行计划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649"/>
        <w:gridCol w:w="2835"/>
      </w:tblGrid>
      <w:tr w14:paraId="285C3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2F5597"/>
            <w:vAlign w:val="center"/>
          </w:tcPr>
          <w:p w14:paraId="63F4396E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时间</w:t>
            </w:r>
          </w:p>
        </w:tc>
        <w:tc>
          <w:tcPr>
            <w:tcW w:w="4649" w:type="dxa"/>
            <w:shd w:val="clear" w:color="auto" w:fill="2F5597"/>
            <w:vAlign w:val="center"/>
          </w:tcPr>
          <w:p w14:paraId="75BBF96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重点任务</w:t>
            </w:r>
          </w:p>
        </w:tc>
        <w:tc>
          <w:tcPr>
            <w:tcW w:w="2835" w:type="dxa"/>
            <w:shd w:val="clear" w:color="auto" w:fill="2F5597"/>
            <w:vAlign w:val="center"/>
          </w:tcPr>
          <w:p w14:paraId="0A1FDAA7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阶段成果</w:t>
            </w:r>
          </w:p>
        </w:tc>
      </w:tr>
      <w:tr w14:paraId="15001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A0CF14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1–2 天</w:t>
            </w:r>
          </w:p>
        </w:tc>
        <w:tc>
          <w:tcPr>
            <w:tcW w:w="4649" w:type="dxa"/>
            <w:vAlign w:val="center"/>
          </w:tcPr>
          <w:p w14:paraId="477E39DD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确定标签、紧急度规则、部门映射；四人分配样本并定接口字段</w:t>
            </w:r>
          </w:p>
        </w:tc>
        <w:tc>
          <w:tcPr>
            <w:tcW w:w="2835" w:type="dxa"/>
            <w:vAlign w:val="center"/>
          </w:tcPr>
          <w:p w14:paraId="1729C62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标签说明、数据模板、analyze 返回结构</w:t>
            </w:r>
          </w:p>
        </w:tc>
      </w:tr>
      <w:tr w14:paraId="1D46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6FA"/>
            <w:vAlign w:val="center"/>
          </w:tcPr>
          <w:p w14:paraId="7A0D8F3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3–4 天</w:t>
            </w:r>
          </w:p>
        </w:tc>
        <w:tc>
          <w:tcPr>
            <w:tcW w:w="4649" w:type="dxa"/>
            <w:shd w:val="clear" w:color="auto" w:fill="F3F6FA"/>
            <w:vAlign w:val="center"/>
          </w:tcPr>
          <w:p w14:paraId="35839E6B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完成首批约 160 条样本并交叉复核；跑通 TF-IDF 与分类基线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34E36A8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首版数据、可复现训练脚本</w:t>
            </w:r>
          </w:p>
        </w:tc>
      </w:tr>
      <w:tr w14:paraId="3409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74AA4A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5–7 天</w:t>
            </w:r>
          </w:p>
        </w:tc>
        <w:tc>
          <w:tcPr>
            <w:tcW w:w="4649" w:type="dxa"/>
            <w:vAlign w:val="center"/>
          </w:tcPr>
          <w:p w14:paraId="1B52C96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补齐约 240–300 条数据；固定测试集；评估 Logistic Regression；完成规则</w:t>
            </w:r>
          </w:p>
        </w:tc>
        <w:tc>
          <w:tcPr>
            <w:tcW w:w="2835" w:type="dxa"/>
            <w:vAlign w:val="center"/>
          </w:tcPr>
          <w:p w14:paraId="691E17C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模型文件、Accuracy、混淆矩阵、规则模块</w:t>
            </w:r>
          </w:p>
        </w:tc>
      </w:tr>
      <w:tr w14:paraId="7E059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6FA"/>
            <w:vAlign w:val="center"/>
          </w:tcPr>
          <w:p w14:paraId="4E768831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8–10 天</w:t>
            </w:r>
          </w:p>
        </w:tc>
        <w:tc>
          <w:tcPr>
            <w:tcW w:w="4649" w:type="dxa"/>
            <w:shd w:val="clear" w:color="auto" w:fill="F3F6FA"/>
            <w:vAlign w:val="center"/>
          </w:tcPr>
          <w:p w14:paraId="67B16868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联通 analyze(text)、摘要兜底和 Streamlit 双端；制作基础统计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28A04665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端到端可演示版本</w:t>
            </w:r>
          </w:p>
        </w:tc>
      </w:tr>
      <w:tr w14:paraId="4878E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E405E1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11–12 天</w:t>
            </w:r>
          </w:p>
        </w:tc>
        <w:tc>
          <w:tcPr>
            <w:tcW w:w="4649" w:type="dxa"/>
            <w:vAlign w:val="center"/>
          </w:tcPr>
          <w:p w14:paraId="19D08319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修复问题；分析 3–5 个误判；完成治理讨论、PPT、海报</w:t>
            </w:r>
          </w:p>
        </w:tc>
        <w:tc>
          <w:tcPr>
            <w:tcW w:w="2835" w:type="dxa"/>
            <w:vAlign w:val="center"/>
          </w:tcPr>
          <w:p w14:paraId="441DE63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 Demo、错误分析、展示材料</w:t>
            </w:r>
          </w:p>
        </w:tc>
      </w:tr>
      <w:tr w14:paraId="2713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6FA"/>
            <w:vAlign w:val="center"/>
          </w:tcPr>
          <w:p w14:paraId="7B5D095B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 13–14 天</w:t>
            </w:r>
          </w:p>
        </w:tc>
        <w:tc>
          <w:tcPr>
            <w:tcW w:w="4649" w:type="dxa"/>
            <w:shd w:val="clear" w:color="auto" w:fill="F3F6FA"/>
            <w:vAlign w:val="center"/>
          </w:tcPr>
          <w:p w14:paraId="7CC8CEF6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冻结功能；全流程彩排、环境复现与最终检查</w:t>
            </w:r>
          </w:p>
        </w:tc>
        <w:tc>
          <w:tcPr>
            <w:tcW w:w="2835" w:type="dxa"/>
            <w:shd w:val="clear" w:color="auto" w:fill="F3F6FA"/>
            <w:vAlign w:val="center"/>
          </w:tcPr>
          <w:p w14:paraId="2226EE3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最终提交版本与答辩演示</w:t>
            </w:r>
          </w:p>
        </w:tc>
      </w:tr>
    </w:tbl>
    <w:p w14:paraId="79BB5915">
      <w:pPr>
        <w:spacing w:after="20"/>
      </w:pPr>
    </w:p>
    <w:p w14:paraId="3A41F407">
      <w:pPr>
        <w:pStyle w:val="3"/>
      </w:pPr>
      <w:r>
        <w:t>十、前期学习清单（按优先级）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4082"/>
        <w:gridCol w:w="3118"/>
      </w:tblGrid>
      <w:tr w14:paraId="21782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2F5597"/>
            <w:vAlign w:val="center"/>
          </w:tcPr>
          <w:p w14:paraId="50FBAA33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优先级</w:t>
            </w:r>
          </w:p>
        </w:tc>
        <w:tc>
          <w:tcPr>
            <w:tcW w:w="4082" w:type="dxa"/>
            <w:shd w:val="clear" w:color="auto" w:fill="2F5597"/>
            <w:vAlign w:val="center"/>
          </w:tcPr>
          <w:p w14:paraId="3184184B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知识点</w:t>
            </w:r>
          </w:p>
        </w:tc>
        <w:tc>
          <w:tcPr>
            <w:tcW w:w="3118" w:type="dxa"/>
            <w:shd w:val="clear" w:color="auto" w:fill="2F5597"/>
            <w:vAlign w:val="center"/>
          </w:tcPr>
          <w:p w14:paraId="48E86C94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目标</w:t>
            </w:r>
          </w:p>
        </w:tc>
      </w:tr>
      <w:tr w14:paraId="54E1A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58C03E6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第一层：必须</w:t>
            </w:r>
          </w:p>
        </w:tc>
        <w:tc>
          <w:tcPr>
            <w:tcW w:w="4082" w:type="dxa"/>
            <w:vAlign w:val="center"/>
          </w:tcPr>
          <w:p w14:paraId="65B44C5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Python、pandas、训练测试划分、TF-IDF、Logistic Regression、Accuracy、混淆矩阵、Streamlit</w:t>
            </w:r>
          </w:p>
        </w:tc>
        <w:tc>
          <w:tcPr>
            <w:tcW w:w="3118" w:type="dxa"/>
            <w:vAlign w:val="center"/>
          </w:tcPr>
          <w:p w14:paraId="25B84F20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完成两周核心 Demo 与真实评估</w:t>
            </w:r>
          </w:p>
        </w:tc>
      </w:tr>
      <w:tr w14:paraId="25873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3F6FA"/>
            <w:vAlign w:val="center"/>
          </w:tcPr>
          <w:p w14:paraId="40E1BC52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第二层：按进度</w:t>
            </w:r>
          </w:p>
        </w:tc>
        <w:tc>
          <w:tcPr>
            <w:tcW w:w="4082" w:type="dxa"/>
            <w:shd w:val="clear" w:color="auto" w:fill="F3F6FA"/>
            <w:vAlign w:val="center"/>
          </w:tcPr>
          <w:p w14:paraId="786E94DC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Naive Bayes、Precision / Recall / F1、matplotlib、LLM API</w:t>
            </w:r>
          </w:p>
        </w:tc>
        <w:tc>
          <w:tcPr>
            <w:tcW w:w="3118" w:type="dxa"/>
            <w:shd w:val="clear" w:color="auto" w:fill="F3F6FA"/>
            <w:vAlign w:val="center"/>
          </w:tcPr>
          <w:p w14:paraId="04E3E1AF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在核心版稳定后完善比较、图表与摘要</w:t>
            </w:r>
          </w:p>
        </w:tc>
      </w:tr>
      <w:tr w14:paraId="0E424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472808D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第三层：可选第三周</w:t>
            </w:r>
          </w:p>
        </w:tc>
        <w:tc>
          <w:tcPr>
            <w:tcW w:w="4082" w:type="dxa"/>
            <w:vAlign w:val="center"/>
          </w:tcPr>
          <w:p w14:paraId="4F9948EA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KMeans、余弦相似度、Embedding、SQLite、人工复核流程</w:t>
            </w:r>
          </w:p>
        </w:tc>
        <w:tc>
          <w:tcPr>
            <w:tcW w:w="3118" w:type="dxa"/>
            <w:vAlign w:val="center"/>
          </w:tcPr>
          <w:p w14:paraId="010EB790"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增强热点识别、重复诉求发现与管理功能</w:t>
            </w:r>
          </w:p>
        </w:tc>
      </w:tr>
    </w:tbl>
    <w:p w14:paraId="53E6A106">
      <w:pPr>
        <w:spacing w:after="20"/>
      </w:pPr>
    </w:p>
    <w:p w14:paraId="7C162ED5">
      <w:pPr>
        <w:pStyle w:val="3"/>
      </w:pPr>
      <w:r>
        <w:t>十一、答辩时最值得展示的实验</w:t>
      </w:r>
    </w:p>
    <w:p w14:paraId="6099DD98">
      <w:r>
        <w:t>不要只展示“系统能跑”，而要展示你们做过实验、知道模型为什么有效，也知道它会在哪里失败。</w:t>
      </w:r>
    </w:p>
    <w:p w14:paraId="642550C4">
      <w:pPr>
        <w:pStyle w:val="16"/>
        <w:spacing w:after="40"/>
      </w:pPr>
      <w:r>
        <w:t>方法比较：两周内至少比较关键词规则与 Logistic Regression；有余力再加入 Naive Bayes。LLM 分类对照放入可选第三周。</w:t>
      </w:r>
    </w:p>
    <w:p w14:paraId="7BAFB530">
      <w:pPr>
        <w:pStyle w:val="16"/>
        <w:spacing w:after="40"/>
      </w:pPr>
      <w:r>
        <w:t>模型评估：Accuracy + 混淆矩阵。</w:t>
      </w:r>
    </w:p>
    <w:p w14:paraId="10872BF2">
      <w:pPr>
        <w:pStyle w:val="16"/>
        <w:spacing w:after="40"/>
      </w:pPr>
      <w:r>
        <w:t>错误分析：选 3–5 个代表性误判样本，解释原因。</w:t>
      </w:r>
    </w:p>
    <w:p w14:paraId="4DDD103E">
      <w:pPr>
        <w:pStyle w:val="16"/>
        <w:spacing w:after="40"/>
      </w:pPr>
      <w:r>
        <w:t>数据影响：说明类别不平衡、口语表达、多义词对结果的影响。</w:t>
      </w:r>
    </w:p>
    <w:p w14:paraId="1E8EDE2E">
      <w:pPr>
        <w:pStyle w:val="16"/>
        <w:spacing w:after="40"/>
      </w:pPr>
      <w:r>
        <w:t>治理讨论：隐私、误分类、人工复核、责任主体、公平性。</w:t>
      </w:r>
    </w:p>
    <w:p w14:paraId="7F4F382B">
      <w:pPr>
        <w:pStyle w:val="3"/>
      </w:pPr>
      <w:r>
        <w:t>十二、答辩叙事主线</w:t>
      </w:r>
    </w:p>
    <w:p w14:paraId="40D66E5F">
      <w:r>
        <w:t>答辩围绕“校园诉求如何从文本进入分类与处理流程，以及模型会在哪些场景出错”展开。两周版本展示分类、紧急度、部门推荐、基础统计与人工复核；可选第三周再展示聚类和相似度。</w:t>
      </w:r>
    </w:p>
    <w:p w14:paraId="2687A1AB">
      <w:pPr>
        <w:shd w:val="clear" w:fill="F2F2F2"/>
        <w:spacing w:before="80" w:after="120"/>
        <w:ind w:left="397" w:right="397"/>
      </w:pPr>
      <w:r>
        <w:rPr>
          <w:rFonts w:ascii="Noto Sans Mono CJK SC" w:hAnsi="Noto Sans Mono CJK SC" w:eastAsia="Noto Sans Mono CJK SC"/>
          <w:sz w:val="18"/>
        </w:rPr>
        <w:t>学生诉求 → 文本清洗与标注 → TF-IDF → Logistic Regression → 紧急度与部门映射 → 摘要 → Streamlit 双端 → 基础统计与模型评估 → 错误分析和治理讨论。</w:t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  <w:r>
        <w:rPr>
          <w:rFonts w:ascii="Noto Sans Mono CJK SC" w:hAnsi="Noto Sans Mono CJK SC" w:eastAsia="Noto Sans Mono CJK SC"/>
          <w:sz w:val="18"/>
        </w:rPr>
        <w:br w:type="textWrapping"/>
      </w:r>
    </w:p>
    <w:p w14:paraId="781B91EB">
      <w:pPr>
        <w:pStyle w:val="3"/>
      </w:pPr>
      <w:r>
        <w:t>十三、最终交付物清单</w:t>
      </w:r>
    </w:p>
    <w:p w14:paraId="2DD652E5">
      <w:pPr>
        <w:pStyle w:val="16"/>
        <w:spacing w:after="40"/>
      </w:pPr>
      <w:r>
        <w:t>一个可现场运行的 Demo。</w:t>
      </w:r>
    </w:p>
    <w:p w14:paraId="3AF78116">
      <w:pPr>
        <w:pStyle w:val="16"/>
        <w:spacing w:after="40"/>
      </w:pPr>
      <w:r>
        <w:t>一份约 240–300 条、经过统一标注的数据集及数据说明。</w:t>
      </w:r>
    </w:p>
    <w:p w14:paraId="3F4CB374">
      <w:pPr>
        <w:pStyle w:val="16"/>
        <w:spacing w:after="40"/>
      </w:pPr>
      <w:r>
        <w:t>至少一个能够解释清楚的核心 AI 算法。</w:t>
      </w:r>
    </w:p>
    <w:p w14:paraId="1C5D5CDF">
      <w:pPr>
        <w:pStyle w:val="16"/>
        <w:spacing w:after="40"/>
      </w:pPr>
      <w:r>
        <w:t>一组真实模型评估结果（Accuracy、混淆矩阵和典型误判；有余力补充 F1）。</w:t>
      </w:r>
    </w:p>
    <w:p w14:paraId="0DD93B80">
      <w:pPr>
        <w:pStyle w:val="16"/>
        <w:spacing w:after="40"/>
      </w:pPr>
      <w:r>
        <w:t>典型错误案例与局限分析。</w:t>
      </w:r>
    </w:p>
    <w:p w14:paraId="4150B7C2">
      <w:pPr>
        <w:pStyle w:val="16"/>
        <w:spacing w:after="40"/>
      </w:pPr>
      <w:r>
        <w:t>隐私、公平、误分类、人工复核、责任主体等治理设计。</w:t>
      </w:r>
    </w:p>
    <w:p w14:paraId="0AEAE23C">
      <w:pPr>
        <w:pStyle w:val="16"/>
        <w:spacing w:after="40"/>
      </w:pPr>
      <w:r>
        <w:t>展示 PPT 与一张成果海报。</w:t>
      </w:r>
    </w:p>
    <w:p w14:paraId="10866D56">
      <w:pPr>
        <w:pStyle w:val="16"/>
        <w:spacing w:after="40"/>
      </w:pPr>
      <w:r>
        <w:t>代码仓库与 README（建议）。</w:t>
      </w:r>
    </w:p>
    <w:p w14:paraId="00CB40C3">
      <w:pPr>
        <w:pStyle w:val="3"/>
      </w:pPr>
      <w:r>
        <w:t>十四、如果多出一周可以增加的功能</w:t>
      </w:r>
    </w:p>
    <w:p w14:paraId="6E5248EC">
      <w:r>
        <w:t>只有当前两周版本已能稳定演示、评估结果已记录、PPT 和海报已有初稿时，才启动第三周扩展。优先做以下功能，并在第 19 天冻结新增需求。</w:t>
      </w:r>
    </w:p>
    <w:p w14:paraId="63ED42E2">
      <w:pPr>
        <w:pStyle w:val="14"/>
        <w:spacing w:after="40"/>
      </w:pPr>
      <w:r>
        <w:t>第 15–16 天：加入 TF-IDF 向量的余弦相似度，展示“可能重复的诉求”及相似度；人工检查误报。</w:t>
      </w:r>
    </w:p>
    <w:p w14:paraId="4C5B2742">
      <w:pPr>
        <w:pStyle w:val="14"/>
        <w:spacing w:after="40"/>
      </w:pPr>
      <w:r>
        <w:t>第 17–18 天：加入 KMeans 热点聚类，展示每个簇的数量和代表诉求；对不易解释的簇保留“未命名”。</w:t>
      </w:r>
    </w:p>
    <w:p w14:paraId="71BB66F6">
      <w:pPr>
        <w:pStyle w:val="14"/>
        <w:spacing w:after="40"/>
      </w:pPr>
      <w:r>
        <w:t>第 19 天：补充 Naive Bayes 或 LLM 分类对照，并比较 Accuracy、F1、错误案例和运行成本。</w:t>
      </w:r>
    </w:p>
    <w:p w14:paraId="5BFE9EA3">
      <w:pPr>
        <w:pStyle w:val="14"/>
        <w:spacing w:after="40"/>
      </w:pPr>
      <w:r>
        <w:t>第 20–21 天：完善低置信度人工复核入口、管理端筛选或数据导出，复测 Demo 并更新答辩材料。</w:t>
      </w:r>
    </w:p>
    <w:p w14:paraId="7EDADF5A">
      <w:pPr>
        <w:pStyle w:val="14"/>
        <w:spacing w:after="40"/>
      </w:pPr>
      <w:r>
        <w:t>扩展优先级：重复诉求识别 → 热点聚类 → 方法对照 → 管理端增强；时间不足时逐项停止，不影响两周必交版本。</w:t>
      </w:r>
    </w:p>
    <w:p w14:paraId="4C2A7884">
      <w:pPr>
        <w:spacing w:before="200"/>
        <w:jc w:val="center"/>
      </w:pPr>
      <w:r>
        <w:rPr>
          <w:b/>
          <w:color w:val="1F4E79"/>
          <w:sz w:val="24"/>
        </w:rPr>
        <w:t>两周验收标准：从输入诉求到分类、紧急度、部门与摘要可连续演示；管理端能查看基础统计；提供真实评估、错误案例、代码说明和答辩材料。</w:t>
      </w:r>
    </w:p>
    <w:sectPr>
      <w:footerReference r:id="rId5" w:type="default"/>
      <w:pgSz w:w="12240" w:h="15840"/>
      <w:pgMar w:top="1191" w:right="1247" w:bottom="1191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C0AA9">
    <w:pPr>
      <w:pStyle w:val="24"/>
      <w:jc w:val="center"/>
    </w:pPr>
    <w:r>
      <w:rPr>
        <w:color w:val="808080"/>
        <w:sz w:val="16"/>
      </w:rPr>
      <w:t>人工智能引论期中项目 · AI 校园诉求智能分流与治理分析平台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FD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496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ubtitleCN"/>
    <w:qFormat/>
    <w:uiPriority w:val="0"/>
    <w:pPr>
      <w:spacing w:after="160" w:line="276" w:lineRule="auto"/>
    </w:pPr>
    <w:rPr>
      <w:rFonts w:ascii="Noto Sans CJK SC" w:hAnsi="Noto Sans CJK SC" w:eastAsia="Noto Sans CJK SC" w:cstheme="minorBidi"/>
      <w:color w:val="595959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710</Words>
  <Characters>764</Characters>
  <Lines>0</Lines>
  <Paragraphs>0</Paragraphs>
  <TotalTime>12</TotalTime>
  <ScaleCrop>false</ScaleCrop>
  <LinksUpToDate>false</LinksUpToDate>
  <CharactersWithSpaces>789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WPS_1655603555</cp:lastModifiedBy>
  <dcterms:modified xsi:type="dcterms:W3CDTF">2026-09-29T11:02:07Z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eyJoZGlkIjoiN2M4NzA2MDFlZGY5MzBmNWQzOWQwNWJkNzFhM2M4MjQiLCJ1c2VySWQiOiIxMzg0NjA5MjQ0In0=</vt:lpwstr>
  </property>
  <property fmtid="{D5CDD505-2E9C-101B-9397-08002B2CF9AE}" pid="3" name="KSOProductBuildVer">
    <vt:lpwstr>2052-12.1.0.28505</vt:lpwstr>
  </property>
  <property fmtid="{D5CDD505-2E9C-101B-9397-08002B2CF9AE}" pid="4" name="ICV">
    <vt:lpwstr>21F577C3B3BB41D3B877CF9553EDE590_12</vt:lpwstr>
  </property>
</Properties>
</file>