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468D" w:rsidRDefault="00B912AB">
      <w:pPr>
        <w:ind w:firstLineChars="600" w:firstLine="1928"/>
        <w:rPr>
          <w:b/>
          <w:bCs/>
          <w:sz w:val="32"/>
          <w:szCs w:val="32"/>
        </w:rPr>
      </w:pPr>
      <w:bookmarkStart w:id="0" w:name="_GoBack"/>
      <w:bookmarkEnd w:id="0"/>
      <w:r>
        <w:rPr>
          <w:rFonts w:hint="eastAsia"/>
          <w:b/>
          <w:bCs/>
          <w:sz w:val="32"/>
          <w:szCs w:val="32"/>
        </w:rPr>
        <w:t>陕西中诚环境治理规划设计有限公司</w:t>
      </w:r>
    </w:p>
    <w:p w:rsidR="006A468D" w:rsidRDefault="00B912AB">
      <w:pPr>
        <w:ind w:firstLineChars="500" w:firstLine="1606"/>
        <w:rPr>
          <w:b/>
          <w:bCs/>
          <w:sz w:val="32"/>
          <w:szCs w:val="32"/>
        </w:rPr>
      </w:pPr>
      <w:r>
        <w:rPr>
          <w:rFonts w:hint="eastAsia"/>
          <w:b/>
          <w:bCs/>
          <w:sz w:val="32"/>
          <w:szCs w:val="32"/>
        </w:rPr>
        <w:t xml:space="preserve">            </w:t>
      </w:r>
      <w:r>
        <w:rPr>
          <w:rFonts w:hint="eastAsia"/>
          <w:b/>
          <w:bCs/>
          <w:sz w:val="32"/>
          <w:szCs w:val="32"/>
        </w:rPr>
        <w:t>简</w:t>
      </w:r>
      <w:r>
        <w:rPr>
          <w:rFonts w:hint="eastAsia"/>
          <w:b/>
          <w:bCs/>
          <w:sz w:val="32"/>
          <w:szCs w:val="32"/>
        </w:rPr>
        <w:t xml:space="preserve">    </w:t>
      </w:r>
      <w:r>
        <w:rPr>
          <w:rFonts w:hint="eastAsia"/>
          <w:b/>
          <w:bCs/>
          <w:sz w:val="32"/>
          <w:szCs w:val="32"/>
        </w:rPr>
        <w:t>介</w:t>
      </w:r>
    </w:p>
    <w:p w:rsidR="006A468D" w:rsidRDefault="00B912AB">
      <w:pPr>
        <w:spacing w:line="360" w:lineRule="auto"/>
        <w:ind w:firstLineChars="300" w:firstLine="84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t>陕西中诚环境治理规划设计有限公司</w:t>
      </w:r>
      <w:r>
        <w:rPr>
          <w:rFonts w:ascii="宋体" w:hAnsi="宋体" w:cs="宋体" w:hint="eastAsia"/>
          <w:color w:val="000000"/>
          <w:sz w:val="28"/>
          <w:szCs w:val="28"/>
        </w:rPr>
        <w:t>是</w:t>
      </w:r>
      <w:r>
        <w:rPr>
          <w:rFonts w:ascii="宋体" w:hAnsi="宋体" w:cs="宋体" w:hint="eastAsia"/>
          <w:color w:val="000000"/>
          <w:sz w:val="28"/>
          <w:szCs w:val="28"/>
        </w:rPr>
        <w:t>依托多所高校和科研院所</w:t>
      </w:r>
      <w:r>
        <w:rPr>
          <w:rFonts w:ascii="宋体" w:hAnsi="宋体" w:cs="宋体" w:hint="eastAsia"/>
          <w:color w:val="000000"/>
          <w:sz w:val="28"/>
          <w:szCs w:val="28"/>
        </w:rPr>
        <w:t>成立的综合设计咨询企业，公司</w:t>
      </w:r>
      <w:r>
        <w:rPr>
          <w:rFonts w:ascii="宋体" w:hAnsi="宋体" w:cs="宋体" w:hint="eastAsia"/>
          <w:color w:val="000000"/>
          <w:sz w:val="28"/>
          <w:szCs w:val="28"/>
        </w:rPr>
        <w:t>主要从事</w:t>
      </w:r>
      <w:r>
        <w:rPr>
          <w:rFonts w:ascii="宋体" w:hAnsi="宋体" w:cs="宋体" w:hint="eastAsia"/>
          <w:color w:val="333333"/>
          <w:sz w:val="28"/>
          <w:szCs w:val="28"/>
          <w:shd w:val="clear" w:color="auto" w:fill="FFFFFF"/>
        </w:rPr>
        <w:t>水利水电、水土保持工程设计</w:t>
      </w:r>
      <w:r>
        <w:rPr>
          <w:rFonts w:ascii="宋体" w:hAnsi="宋体" w:cs="宋体" w:hint="eastAsia"/>
          <w:color w:val="333333"/>
          <w:sz w:val="28"/>
          <w:szCs w:val="28"/>
          <w:shd w:val="clear" w:color="auto" w:fill="FFFFFF"/>
        </w:rPr>
        <w:t>、</w:t>
      </w:r>
      <w:r>
        <w:rPr>
          <w:rFonts w:ascii="宋体" w:hAnsi="宋体" w:cs="宋体" w:hint="eastAsia"/>
          <w:color w:val="333333"/>
          <w:sz w:val="28"/>
          <w:szCs w:val="28"/>
          <w:shd w:val="clear" w:color="auto" w:fill="FFFFFF"/>
        </w:rPr>
        <w:t>城市规划及建筑工程设计</w:t>
      </w:r>
      <w:r>
        <w:rPr>
          <w:rFonts w:ascii="宋体" w:hAnsi="宋体" w:cs="宋体" w:hint="eastAsia"/>
          <w:color w:val="333333"/>
          <w:sz w:val="28"/>
          <w:szCs w:val="28"/>
          <w:shd w:val="clear" w:color="auto" w:fill="FFFFFF"/>
        </w:rPr>
        <w:t>、</w:t>
      </w:r>
      <w:r>
        <w:rPr>
          <w:rFonts w:ascii="宋体" w:hAnsi="宋体" w:cs="宋体" w:hint="eastAsia"/>
          <w:color w:val="333333"/>
          <w:sz w:val="28"/>
          <w:szCs w:val="28"/>
          <w:shd w:val="clear" w:color="auto" w:fill="FFFFFF"/>
        </w:rPr>
        <w:t>土地规划</w:t>
      </w:r>
      <w:r>
        <w:rPr>
          <w:rFonts w:ascii="宋体" w:hAnsi="宋体" w:cs="宋体" w:hint="eastAsia"/>
          <w:color w:val="333333"/>
          <w:sz w:val="28"/>
          <w:szCs w:val="28"/>
          <w:shd w:val="clear" w:color="auto" w:fill="FFFFFF"/>
        </w:rPr>
        <w:t>设计</w:t>
      </w:r>
      <w:r>
        <w:rPr>
          <w:rFonts w:ascii="宋体" w:hAnsi="宋体" w:cs="宋体" w:hint="eastAsia"/>
          <w:color w:val="333333"/>
          <w:sz w:val="28"/>
          <w:szCs w:val="28"/>
          <w:shd w:val="clear" w:color="auto" w:fill="FFFFFF"/>
        </w:rPr>
        <w:t>、生态环境工程规划设计</w:t>
      </w:r>
      <w:r>
        <w:rPr>
          <w:rFonts w:ascii="宋体" w:hAnsi="宋体" w:cs="宋体" w:hint="eastAsia"/>
          <w:color w:val="333333"/>
          <w:sz w:val="28"/>
          <w:szCs w:val="28"/>
          <w:shd w:val="clear" w:color="auto" w:fill="FFFFFF"/>
        </w:rPr>
        <w:t>、岩土</w:t>
      </w:r>
      <w:r>
        <w:rPr>
          <w:rFonts w:ascii="宋体" w:hAnsi="宋体" w:cs="宋体" w:hint="eastAsia"/>
          <w:color w:val="333333"/>
          <w:sz w:val="28"/>
          <w:szCs w:val="28"/>
          <w:shd w:val="clear" w:color="auto" w:fill="FFFFFF"/>
        </w:rPr>
        <w:t>工程勘察设计</w:t>
      </w:r>
      <w:r>
        <w:rPr>
          <w:rFonts w:ascii="宋体" w:hAnsi="宋体" w:cs="宋体" w:hint="eastAsia"/>
          <w:color w:val="333333"/>
          <w:sz w:val="28"/>
          <w:szCs w:val="28"/>
          <w:shd w:val="clear" w:color="auto" w:fill="FFFFFF"/>
        </w:rPr>
        <w:t>、</w:t>
      </w:r>
      <w:r>
        <w:rPr>
          <w:rFonts w:ascii="宋体" w:hAnsi="宋体" w:cs="宋体" w:hint="eastAsia"/>
          <w:color w:val="333333"/>
          <w:sz w:val="28"/>
          <w:szCs w:val="28"/>
          <w:shd w:val="clear" w:color="auto" w:fill="FFFFFF"/>
        </w:rPr>
        <w:t>地质灾害</w:t>
      </w:r>
      <w:r>
        <w:rPr>
          <w:rFonts w:ascii="宋体" w:hAnsi="宋体" w:cs="宋体" w:hint="eastAsia"/>
          <w:color w:val="333333"/>
          <w:sz w:val="28"/>
          <w:szCs w:val="28"/>
          <w:shd w:val="clear" w:color="auto" w:fill="FFFFFF"/>
        </w:rPr>
        <w:t>治理</w:t>
      </w:r>
      <w:r>
        <w:rPr>
          <w:rFonts w:ascii="宋体" w:hAnsi="宋体" w:cs="宋体" w:hint="eastAsia"/>
          <w:color w:val="333333"/>
          <w:sz w:val="28"/>
          <w:szCs w:val="28"/>
          <w:shd w:val="clear" w:color="auto" w:fill="FFFFFF"/>
        </w:rPr>
        <w:t>勘查设计</w:t>
      </w:r>
      <w:r>
        <w:rPr>
          <w:rFonts w:ascii="宋体" w:hAnsi="宋体" w:cs="宋体" w:hint="eastAsia"/>
          <w:color w:val="333333"/>
          <w:sz w:val="28"/>
          <w:szCs w:val="28"/>
          <w:shd w:val="clear" w:color="auto" w:fill="FFFFFF"/>
        </w:rPr>
        <w:t>、</w:t>
      </w:r>
      <w:r>
        <w:rPr>
          <w:rFonts w:ascii="宋体" w:hAnsi="宋体" w:cs="宋体" w:hint="eastAsia"/>
          <w:color w:val="333333"/>
          <w:sz w:val="28"/>
          <w:szCs w:val="28"/>
          <w:shd w:val="clear" w:color="auto" w:fill="FFFFFF"/>
        </w:rPr>
        <w:t>技术咨询</w:t>
      </w:r>
      <w:r>
        <w:rPr>
          <w:rFonts w:ascii="宋体" w:hAnsi="宋体" w:cs="宋体" w:hint="eastAsia"/>
          <w:color w:val="333333"/>
          <w:sz w:val="28"/>
          <w:szCs w:val="28"/>
          <w:shd w:val="clear" w:color="auto" w:fill="FFFFFF"/>
        </w:rPr>
        <w:t>服务等业务</w:t>
      </w:r>
      <w:r>
        <w:rPr>
          <w:rFonts w:ascii="宋体" w:hAnsi="宋体" w:cs="宋体" w:hint="eastAsia"/>
          <w:color w:val="333333"/>
          <w:sz w:val="28"/>
          <w:szCs w:val="28"/>
          <w:shd w:val="clear" w:color="auto" w:fill="FFFFFF"/>
        </w:rPr>
        <w:t>。</w:t>
      </w:r>
    </w:p>
    <w:p w:rsidR="006A468D" w:rsidRDefault="00B912AB">
      <w:pPr>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t xml:space="preserve">   </w:t>
      </w:r>
      <w:r>
        <w:rPr>
          <w:rFonts w:ascii="宋体" w:hAnsi="宋体" w:cs="宋体" w:hint="eastAsia"/>
          <w:b/>
          <w:bCs/>
          <w:color w:val="333333"/>
          <w:sz w:val="28"/>
          <w:szCs w:val="28"/>
          <w:shd w:val="clear" w:color="auto" w:fill="FFFFFF"/>
        </w:rPr>
        <w:t xml:space="preserve"> </w:t>
      </w:r>
      <w:r>
        <w:rPr>
          <w:rFonts w:ascii="宋体" w:hAnsi="宋体" w:cs="宋体" w:hint="eastAsia"/>
          <w:b/>
          <w:bCs/>
          <w:color w:val="333333"/>
          <w:sz w:val="28"/>
          <w:szCs w:val="28"/>
          <w:shd w:val="clear" w:color="auto" w:fill="FFFFFF"/>
        </w:rPr>
        <w:t>企业使命：</w:t>
      </w:r>
      <w:r>
        <w:rPr>
          <w:rFonts w:ascii="宋体" w:hAnsi="宋体" w:cs="宋体" w:hint="eastAsia"/>
          <w:color w:val="333333"/>
          <w:sz w:val="28"/>
          <w:szCs w:val="28"/>
          <w:shd w:val="clear" w:color="auto" w:fill="FFFFFF"/>
        </w:rPr>
        <w:t>加强生态环境保护修复，实现自然和谐统一。</w:t>
      </w:r>
    </w:p>
    <w:p w:rsidR="006A468D" w:rsidRDefault="00B912AB">
      <w:pPr>
        <w:ind w:firstLineChars="200" w:firstLine="562"/>
        <w:rPr>
          <w:rFonts w:ascii="宋体" w:hAnsi="宋体" w:cs="宋体"/>
          <w:b/>
          <w:bCs/>
          <w:color w:val="333333"/>
          <w:sz w:val="28"/>
          <w:szCs w:val="28"/>
          <w:shd w:val="clear" w:color="auto" w:fill="FFFFFF"/>
        </w:rPr>
      </w:pPr>
      <w:r>
        <w:rPr>
          <w:rFonts w:ascii="宋体" w:hAnsi="宋体" w:cs="宋体" w:hint="eastAsia"/>
          <w:b/>
          <w:bCs/>
          <w:color w:val="333333"/>
          <w:sz w:val="28"/>
          <w:szCs w:val="28"/>
          <w:shd w:val="clear" w:color="auto" w:fill="FFFFFF"/>
        </w:rPr>
        <w:t>核心价值：</w:t>
      </w:r>
      <w:r>
        <w:rPr>
          <w:rFonts w:ascii="宋体" w:hAnsi="宋体" w:cs="宋体" w:hint="eastAsia"/>
          <w:color w:val="333333"/>
          <w:sz w:val="28"/>
          <w:szCs w:val="28"/>
          <w:shd w:val="clear" w:color="auto" w:fill="FFFFFF"/>
        </w:rPr>
        <w:t>诚信、创新、绿色、和谐、共享</w:t>
      </w:r>
    </w:p>
    <w:p w:rsidR="006A468D" w:rsidRDefault="00B912AB">
      <w:pPr>
        <w:ind w:firstLine="560"/>
        <w:rPr>
          <w:rFonts w:ascii="宋体" w:hAnsi="宋体" w:cs="宋体"/>
          <w:color w:val="333333"/>
          <w:sz w:val="28"/>
          <w:szCs w:val="28"/>
          <w:shd w:val="clear" w:color="auto" w:fill="FFFFFF"/>
        </w:rPr>
      </w:pPr>
      <w:r>
        <w:rPr>
          <w:rFonts w:hint="eastAsia"/>
          <w:b/>
          <w:bCs/>
          <w:sz w:val="28"/>
          <w:szCs w:val="28"/>
        </w:rPr>
        <w:t>发展理念：</w:t>
      </w:r>
      <w:r>
        <w:rPr>
          <w:rFonts w:ascii="宋体" w:hAnsi="宋体" w:cs="宋体" w:hint="eastAsia"/>
          <w:color w:val="333333"/>
          <w:sz w:val="28"/>
          <w:szCs w:val="28"/>
          <w:shd w:val="clear" w:color="auto" w:fill="FFFFFF"/>
        </w:rPr>
        <w:t>加强合作，打造</w:t>
      </w:r>
      <w:r>
        <w:rPr>
          <w:rFonts w:ascii="宋体" w:hAnsi="宋体" w:cs="宋体" w:hint="eastAsia"/>
          <w:color w:val="333333"/>
          <w:sz w:val="28"/>
          <w:szCs w:val="28"/>
          <w:shd w:val="clear" w:color="auto" w:fill="FFFFFF"/>
        </w:rPr>
        <w:t>利益</w:t>
      </w:r>
      <w:r>
        <w:rPr>
          <w:rFonts w:ascii="宋体" w:hAnsi="宋体" w:cs="宋体" w:hint="eastAsia"/>
          <w:color w:val="333333"/>
          <w:sz w:val="28"/>
          <w:szCs w:val="28"/>
          <w:shd w:val="clear" w:color="auto" w:fill="FFFFFF"/>
        </w:rPr>
        <w:t>共同体；技术创新，提升核心竞争力；优质服务，与客户实现共赢</w:t>
      </w:r>
      <w:r>
        <w:rPr>
          <w:rFonts w:ascii="宋体" w:hAnsi="宋体" w:cs="宋体" w:hint="eastAsia"/>
          <w:color w:val="333333"/>
          <w:sz w:val="28"/>
          <w:szCs w:val="28"/>
          <w:shd w:val="clear" w:color="auto" w:fill="FFFFFF"/>
        </w:rPr>
        <w:t>。</w:t>
      </w:r>
    </w:p>
    <w:p w:rsidR="006A468D" w:rsidRDefault="00B912AB">
      <w:pPr>
        <w:pStyle w:val="2"/>
        <w:widowControl/>
        <w:shd w:val="clear" w:color="auto" w:fill="FFFFFF"/>
        <w:spacing w:beforeAutospacing="0" w:afterAutospacing="0"/>
        <w:ind w:firstLine="560"/>
        <w:rPr>
          <w:rFonts w:cs="宋体" w:hint="default"/>
          <w:b w:val="0"/>
          <w:color w:val="333333"/>
          <w:kern w:val="2"/>
          <w:sz w:val="28"/>
          <w:szCs w:val="28"/>
          <w:shd w:val="clear" w:color="auto" w:fill="FFFFFF"/>
        </w:rPr>
      </w:pPr>
      <w:r>
        <w:rPr>
          <w:rFonts w:cs="宋体"/>
          <w:bCs/>
          <w:color w:val="333333"/>
          <w:sz w:val="28"/>
          <w:szCs w:val="28"/>
          <w:shd w:val="clear" w:color="auto" w:fill="FFFFFF"/>
        </w:rPr>
        <w:t>战略目标：</w:t>
      </w:r>
      <w:r>
        <w:rPr>
          <w:rFonts w:cs="宋体"/>
          <w:b w:val="0"/>
          <w:color w:val="333333"/>
          <w:kern w:val="2"/>
          <w:sz w:val="28"/>
          <w:szCs w:val="28"/>
          <w:shd w:val="clear" w:color="auto" w:fill="FFFFFF"/>
        </w:rPr>
        <w:t>确保整体业务规模与盈利能力的稳定，加强</w:t>
      </w:r>
      <w:r>
        <w:rPr>
          <w:rFonts w:cs="宋体"/>
          <w:b w:val="0"/>
          <w:color w:val="333333"/>
          <w:kern w:val="2"/>
          <w:sz w:val="28"/>
          <w:szCs w:val="28"/>
          <w:shd w:val="clear" w:color="auto" w:fill="FFFFFF"/>
        </w:rPr>
        <w:t>生态保护修复研究</w:t>
      </w:r>
      <w:r>
        <w:rPr>
          <w:rFonts w:cs="宋体"/>
          <w:b w:val="0"/>
          <w:color w:val="333333"/>
          <w:kern w:val="2"/>
          <w:sz w:val="28"/>
          <w:szCs w:val="28"/>
          <w:shd w:val="clear" w:color="auto" w:fill="FFFFFF"/>
        </w:rPr>
        <w:t>，积极探索、培育新业务和发展模式以形成业务平台，为</w:t>
      </w:r>
      <w:r>
        <w:rPr>
          <w:rFonts w:cs="宋体"/>
          <w:b w:val="0"/>
          <w:color w:val="333333"/>
          <w:kern w:val="2"/>
          <w:sz w:val="28"/>
          <w:szCs w:val="28"/>
          <w:shd w:val="clear" w:color="auto" w:fill="FFFFFF"/>
        </w:rPr>
        <w:t>实现美丽陕西贡献力量</w:t>
      </w:r>
      <w:r>
        <w:rPr>
          <w:rFonts w:cs="宋体"/>
          <w:b w:val="0"/>
          <w:color w:val="333333"/>
          <w:kern w:val="2"/>
          <w:sz w:val="28"/>
          <w:szCs w:val="28"/>
          <w:shd w:val="clear" w:color="auto" w:fill="FFFFFF"/>
        </w:rPr>
        <w:t>。</w:t>
      </w:r>
    </w:p>
    <w:p w:rsidR="006A468D" w:rsidRDefault="00B912AB">
      <w:pPr>
        <w:spacing w:line="360" w:lineRule="auto"/>
        <w:ind w:firstLineChars="200" w:firstLine="562"/>
      </w:pPr>
      <w:r>
        <w:rPr>
          <w:rFonts w:cs="宋体" w:hint="eastAsia"/>
          <w:b/>
          <w:bCs/>
          <w:color w:val="333333"/>
          <w:sz w:val="28"/>
          <w:szCs w:val="28"/>
          <w:shd w:val="clear" w:color="auto" w:fill="FFFFFF"/>
        </w:rPr>
        <w:t>企业愿景：</w:t>
      </w:r>
      <w:r>
        <w:rPr>
          <w:rFonts w:ascii="宋体" w:hAnsi="宋体" w:cs="宋体" w:hint="eastAsia"/>
          <w:color w:val="333333"/>
          <w:sz w:val="28"/>
          <w:szCs w:val="28"/>
          <w:shd w:val="clear" w:color="auto" w:fill="FFFFFF"/>
        </w:rPr>
        <w:t>设计未来，创造卓越，铸造品质，成就第一。整合资源，实行产学研结合、设计咨询、工程</w:t>
      </w:r>
      <w:r>
        <w:rPr>
          <w:rFonts w:ascii="宋体" w:hAnsi="宋体" w:cs="宋体" w:hint="eastAsia"/>
          <w:color w:val="333333"/>
          <w:sz w:val="28"/>
          <w:szCs w:val="28"/>
          <w:shd w:val="clear" w:color="auto" w:fill="FFFFFF"/>
        </w:rPr>
        <w:t>总</w:t>
      </w:r>
      <w:r>
        <w:rPr>
          <w:rFonts w:ascii="宋体" w:hAnsi="宋体" w:cs="宋体" w:hint="eastAsia"/>
          <w:color w:val="333333"/>
          <w:sz w:val="28"/>
          <w:szCs w:val="28"/>
          <w:shd w:val="clear" w:color="auto" w:fill="FFFFFF"/>
        </w:rPr>
        <w:t>承包业务板块有机结合、相互促进、共同发展，打造生态保护修复平台、引进和培养一支生态保护修复的创新研究团队，成为行业领域骨干力量。</w:t>
      </w:r>
      <w:r>
        <w:rPr>
          <w:rFonts w:ascii="宋体" w:hAnsi="宋体" w:cs="宋体" w:hint="eastAsia"/>
          <w:color w:val="333333"/>
          <w:sz w:val="28"/>
          <w:szCs w:val="28"/>
          <w:shd w:val="clear" w:color="auto" w:fill="FFFFFF"/>
        </w:rPr>
        <w:t xml:space="preserve"> </w:t>
      </w:r>
      <w:r>
        <w:rPr>
          <w:rFonts w:hint="eastAsia"/>
          <w:b/>
          <w:bCs/>
          <w:sz w:val="28"/>
          <w:szCs w:val="28"/>
        </w:rPr>
        <w:t xml:space="preserve">       </w:t>
      </w:r>
      <w:r>
        <w:rPr>
          <w:rFonts w:ascii="宋体" w:hAnsi="宋体" w:cs="宋体" w:hint="eastAsia"/>
          <w:color w:val="000000"/>
          <w:sz w:val="27"/>
          <w:szCs w:val="27"/>
        </w:rPr>
        <w:t>。</w:t>
      </w:r>
    </w:p>
    <w:p w:rsidR="006A468D" w:rsidRDefault="00B912AB">
      <w:pPr>
        <w:jc w:val="left"/>
        <w:rPr>
          <w:rFonts w:ascii="宋体" w:hAnsi="宋体" w:cs="宋体"/>
          <w:color w:val="333333"/>
          <w:sz w:val="28"/>
          <w:szCs w:val="28"/>
          <w:shd w:val="clear" w:color="auto" w:fill="FFFFFF"/>
        </w:rPr>
      </w:pPr>
      <w:r>
        <w:rPr>
          <w:rFonts w:cs="宋体" w:hint="eastAsia"/>
          <w:b/>
          <w:bCs/>
          <w:color w:val="333333"/>
          <w:sz w:val="28"/>
          <w:szCs w:val="28"/>
          <w:shd w:val="clear" w:color="auto" w:fill="FFFFFF"/>
        </w:rPr>
        <w:t xml:space="preserve">    </w:t>
      </w:r>
      <w:r>
        <w:rPr>
          <w:rFonts w:cs="宋体" w:hint="eastAsia"/>
          <w:b/>
          <w:bCs/>
          <w:color w:val="333333"/>
          <w:sz w:val="28"/>
          <w:szCs w:val="28"/>
          <w:shd w:val="clear" w:color="auto" w:fill="FFFFFF"/>
        </w:rPr>
        <w:t>技术团队：</w:t>
      </w:r>
      <w:r>
        <w:rPr>
          <w:rFonts w:ascii="宋体" w:hAnsi="宋体" w:cs="宋体" w:hint="eastAsia"/>
          <w:color w:val="333333"/>
          <w:sz w:val="28"/>
          <w:szCs w:val="28"/>
          <w:shd w:val="clear" w:color="auto" w:fill="FFFFFF"/>
        </w:rPr>
        <w:t>公</w:t>
      </w:r>
      <w:r>
        <w:rPr>
          <w:rFonts w:ascii="宋体" w:hAnsi="宋体" w:cs="宋体" w:hint="eastAsia"/>
          <w:color w:val="333333"/>
          <w:sz w:val="28"/>
          <w:szCs w:val="28"/>
          <w:shd w:val="clear" w:color="auto" w:fill="FFFFFF"/>
        </w:rPr>
        <w:t>司现拥有各类技术人才</w:t>
      </w:r>
      <w:r>
        <w:rPr>
          <w:rFonts w:ascii="宋体" w:hAnsi="宋体" w:cs="宋体" w:hint="eastAsia"/>
          <w:color w:val="333333"/>
          <w:sz w:val="28"/>
          <w:szCs w:val="28"/>
          <w:shd w:val="clear" w:color="auto" w:fill="FFFFFF"/>
        </w:rPr>
        <w:t>58</w:t>
      </w:r>
      <w:r>
        <w:rPr>
          <w:rFonts w:ascii="宋体" w:hAnsi="宋体" w:cs="宋体" w:hint="eastAsia"/>
          <w:color w:val="333333"/>
          <w:sz w:val="28"/>
          <w:szCs w:val="28"/>
          <w:shd w:val="clear" w:color="auto" w:fill="FFFFFF"/>
        </w:rPr>
        <w:t>人，其中教授</w:t>
      </w:r>
      <w:r>
        <w:rPr>
          <w:rFonts w:ascii="宋体" w:hAnsi="宋体" w:cs="宋体" w:hint="eastAsia"/>
          <w:color w:val="333333"/>
          <w:sz w:val="28"/>
          <w:szCs w:val="28"/>
          <w:shd w:val="clear" w:color="auto" w:fill="FFFFFF"/>
        </w:rPr>
        <w:t>10</w:t>
      </w:r>
      <w:r>
        <w:rPr>
          <w:rFonts w:ascii="宋体" w:hAnsi="宋体" w:cs="宋体" w:hint="eastAsia"/>
          <w:color w:val="333333"/>
          <w:sz w:val="28"/>
          <w:szCs w:val="28"/>
          <w:shd w:val="clear" w:color="auto" w:fill="FFFFFF"/>
        </w:rPr>
        <w:t>人、教授级高工</w:t>
      </w:r>
      <w:r>
        <w:rPr>
          <w:rFonts w:ascii="宋体" w:hAnsi="宋体" w:cs="宋体" w:hint="eastAsia"/>
          <w:color w:val="333333"/>
          <w:sz w:val="28"/>
          <w:szCs w:val="28"/>
          <w:shd w:val="clear" w:color="auto" w:fill="FFFFFF"/>
        </w:rPr>
        <w:t>2</w:t>
      </w:r>
      <w:r>
        <w:rPr>
          <w:rFonts w:ascii="宋体" w:hAnsi="宋体" w:cs="宋体" w:hint="eastAsia"/>
          <w:color w:val="333333"/>
          <w:sz w:val="28"/>
          <w:szCs w:val="28"/>
          <w:shd w:val="clear" w:color="auto" w:fill="FFFFFF"/>
        </w:rPr>
        <w:t>人、高级工程师</w:t>
      </w:r>
      <w:r>
        <w:rPr>
          <w:rFonts w:ascii="宋体" w:hAnsi="宋体" w:cs="宋体" w:hint="eastAsia"/>
          <w:color w:val="333333"/>
          <w:sz w:val="28"/>
          <w:szCs w:val="28"/>
          <w:shd w:val="clear" w:color="auto" w:fill="FFFFFF"/>
        </w:rPr>
        <w:t>15</w:t>
      </w:r>
      <w:r>
        <w:rPr>
          <w:rFonts w:ascii="宋体" w:hAnsi="宋体" w:cs="宋体" w:hint="eastAsia"/>
          <w:color w:val="333333"/>
          <w:sz w:val="28"/>
          <w:szCs w:val="28"/>
          <w:shd w:val="clear" w:color="auto" w:fill="FFFFFF"/>
        </w:rPr>
        <w:t>人。拥有地质灾害管理及预报预警系统研发和黄土高原生态保护修复关键技术</w:t>
      </w:r>
      <w:r>
        <w:rPr>
          <w:rFonts w:ascii="宋体" w:hAnsi="宋体" w:cs="宋体" w:hint="eastAsia"/>
          <w:color w:val="333333"/>
          <w:sz w:val="28"/>
          <w:szCs w:val="28"/>
          <w:shd w:val="clear" w:color="auto" w:fill="FFFFFF"/>
        </w:rPr>
        <w:t>研究</w:t>
      </w:r>
      <w:r>
        <w:rPr>
          <w:rFonts w:ascii="宋体" w:hAnsi="宋体" w:cs="宋体" w:hint="eastAsia"/>
          <w:color w:val="333333"/>
          <w:sz w:val="28"/>
          <w:szCs w:val="28"/>
          <w:shd w:val="clear" w:color="auto" w:fill="FFFFFF"/>
        </w:rPr>
        <w:t>2</w:t>
      </w:r>
      <w:r>
        <w:rPr>
          <w:rFonts w:ascii="宋体" w:hAnsi="宋体" w:cs="宋体" w:hint="eastAsia"/>
          <w:color w:val="333333"/>
          <w:sz w:val="28"/>
          <w:szCs w:val="28"/>
          <w:shd w:val="clear" w:color="auto" w:fill="FFFFFF"/>
        </w:rPr>
        <w:t>个研发团队。</w:t>
      </w:r>
    </w:p>
    <w:p w:rsidR="006A468D" w:rsidRDefault="00B912AB">
      <w:pPr>
        <w:spacing w:line="360" w:lineRule="auto"/>
        <w:ind w:firstLine="482"/>
        <w:rPr>
          <w:rFonts w:ascii="宋体" w:hAnsi="宋体" w:cs="宋体"/>
          <w:color w:val="333333"/>
          <w:sz w:val="28"/>
          <w:szCs w:val="28"/>
          <w:shd w:val="clear" w:color="auto" w:fill="FFFFFF"/>
        </w:rPr>
      </w:pPr>
      <w:r>
        <w:rPr>
          <w:rFonts w:ascii="宋体" w:hAnsi="宋体" w:cs="宋体" w:hint="eastAsia"/>
          <w:b/>
          <w:bCs/>
          <w:color w:val="333333"/>
          <w:sz w:val="28"/>
          <w:szCs w:val="28"/>
          <w:shd w:val="clear" w:color="auto" w:fill="FFFFFF"/>
        </w:rPr>
        <w:t>公司业绩</w:t>
      </w:r>
      <w:r>
        <w:rPr>
          <w:rFonts w:ascii="宋体" w:hAnsi="宋体" w:cs="宋体" w:hint="eastAsia"/>
          <w:color w:val="333333"/>
          <w:sz w:val="28"/>
          <w:szCs w:val="28"/>
          <w:shd w:val="clear" w:color="auto" w:fill="FFFFFF"/>
        </w:rPr>
        <w:t>：</w:t>
      </w:r>
      <w:r>
        <w:rPr>
          <w:rFonts w:ascii="宋体" w:hAnsi="宋体" w:cs="宋体" w:hint="eastAsia"/>
          <w:color w:val="333333"/>
          <w:sz w:val="28"/>
          <w:szCs w:val="28"/>
          <w:shd w:val="clear" w:color="auto" w:fill="FFFFFF"/>
        </w:rPr>
        <w:t>公司先后和</w:t>
      </w:r>
      <w:r>
        <w:rPr>
          <w:rFonts w:ascii="宋体" w:hAnsi="宋体" w:cs="宋体" w:hint="eastAsia"/>
          <w:color w:val="333333"/>
          <w:sz w:val="28"/>
          <w:szCs w:val="28"/>
          <w:shd w:val="clear" w:color="auto" w:fill="FFFFFF"/>
        </w:rPr>
        <w:t>多家科研院所</w:t>
      </w:r>
      <w:r>
        <w:rPr>
          <w:rFonts w:ascii="宋体" w:hAnsi="宋体" w:cs="宋体" w:hint="eastAsia"/>
          <w:color w:val="333333"/>
          <w:sz w:val="28"/>
          <w:szCs w:val="28"/>
          <w:shd w:val="clear" w:color="auto" w:fill="FFFFFF"/>
        </w:rPr>
        <w:t>签订了合作协议，参与了</w:t>
      </w:r>
      <w:r>
        <w:rPr>
          <w:rFonts w:ascii="宋体" w:hAnsi="宋体" w:cs="宋体" w:hint="eastAsia"/>
          <w:color w:val="333333"/>
          <w:sz w:val="28"/>
          <w:szCs w:val="28"/>
          <w:shd w:val="clear" w:color="auto" w:fill="FFFFFF"/>
        </w:rPr>
        <w:t>咀河上游生态保护修复与景观提升、</w:t>
      </w:r>
      <w:r>
        <w:rPr>
          <w:rFonts w:ascii="宋体" w:hAnsi="宋体" w:cs="宋体" w:hint="eastAsia"/>
          <w:color w:val="333333"/>
          <w:sz w:val="28"/>
          <w:szCs w:val="28"/>
          <w:shd w:val="clear" w:color="auto" w:fill="FFFFFF"/>
        </w:rPr>
        <w:t>周河流域生态保护修复、宁赛川流域生</w:t>
      </w:r>
      <w:r>
        <w:rPr>
          <w:rFonts w:ascii="宋体" w:hAnsi="宋体" w:cs="宋体" w:hint="eastAsia"/>
          <w:color w:val="333333"/>
          <w:sz w:val="28"/>
          <w:szCs w:val="28"/>
          <w:shd w:val="clear" w:color="auto" w:fill="FFFFFF"/>
        </w:rPr>
        <w:lastRenderedPageBreak/>
        <w:t>态保护修复</w:t>
      </w:r>
      <w:r>
        <w:rPr>
          <w:rFonts w:ascii="宋体" w:hAnsi="宋体" w:cs="宋体" w:hint="eastAsia"/>
          <w:color w:val="333333"/>
          <w:sz w:val="28"/>
          <w:szCs w:val="28"/>
          <w:shd w:val="clear" w:color="auto" w:fill="FFFFFF"/>
        </w:rPr>
        <w:t>、三道沟矿山生态保护修复</w:t>
      </w:r>
      <w:r>
        <w:rPr>
          <w:rFonts w:ascii="宋体" w:hAnsi="宋体" w:cs="宋体" w:hint="eastAsia"/>
          <w:color w:val="333333"/>
          <w:sz w:val="28"/>
          <w:szCs w:val="28"/>
          <w:shd w:val="clear" w:color="auto" w:fill="FFFFFF"/>
        </w:rPr>
        <w:t>等项目，项目涉及河道治理、水环境治理、水生态修复、水土流失治理、土地整治、地质灾害治理、矿山环境生态修复、城市生态修复、生态农业、农村环境整治等领域。</w:t>
      </w:r>
    </w:p>
    <w:p w:rsidR="006A468D" w:rsidRDefault="00B912AB">
      <w:pPr>
        <w:ind w:firstLineChars="200" w:firstLine="56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t>我们</w:t>
      </w:r>
      <w:r>
        <w:rPr>
          <w:rFonts w:ascii="宋体" w:hAnsi="宋体" w:cs="宋体" w:hint="eastAsia"/>
          <w:color w:val="333333"/>
          <w:sz w:val="28"/>
          <w:szCs w:val="28"/>
          <w:shd w:val="clear" w:color="auto" w:fill="FFFFFF"/>
        </w:rPr>
        <w:t>始终秉承“</w:t>
      </w:r>
      <w:r>
        <w:rPr>
          <w:rFonts w:ascii="宋体" w:hAnsi="宋体" w:cs="宋体" w:hint="eastAsia"/>
          <w:color w:val="333333"/>
          <w:sz w:val="28"/>
          <w:szCs w:val="28"/>
          <w:shd w:val="clear" w:color="auto" w:fill="FFFFFF"/>
        </w:rPr>
        <w:t>诚信、创新、绿色、和谐、共享</w:t>
      </w:r>
      <w:r>
        <w:rPr>
          <w:rFonts w:ascii="宋体" w:hAnsi="宋体" w:cs="宋体" w:hint="eastAsia"/>
          <w:color w:val="333333"/>
          <w:sz w:val="28"/>
          <w:szCs w:val="28"/>
          <w:shd w:val="clear" w:color="auto" w:fill="FFFFFF"/>
        </w:rPr>
        <w:t>”的经营理念，将诚信作为立企之本，将</w:t>
      </w:r>
      <w:r>
        <w:rPr>
          <w:rFonts w:ascii="宋体" w:hAnsi="宋体" w:cs="宋体" w:hint="eastAsia"/>
          <w:color w:val="333333"/>
          <w:sz w:val="28"/>
          <w:szCs w:val="28"/>
          <w:shd w:val="clear" w:color="auto" w:fill="FFFFFF"/>
        </w:rPr>
        <w:t>人才、质量、</w:t>
      </w:r>
      <w:r>
        <w:rPr>
          <w:rFonts w:ascii="宋体" w:hAnsi="宋体" w:cs="宋体" w:hint="eastAsia"/>
          <w:color w:val="333333"/>
          <w:sz w:val="28"/>
          <w:szCs w:val="28"/>
          <w:shd w:val="clear" w:color="auto" w:fill="FFFFFF"/>
        </w:rPr>
        <w:t>绿色、</w:t>
      </w:r>
      <w:r>
        <w:rPr>
          <w:rFonts w:ascii="宋体" w:hAnsi="宋体" w:cs="宋体" w:hint="eastAsia"/>
          <w:color w:val="333333"/>
          <w:sz w:val="28"/>
          <w:szCs w:val="28"/>
          <w:shd w:val="clear" w:color="auto" w:fill="FFFFFF"/>
        </w:rPr>
        <w:t>和谐、共享</w:t>
      </w:r>
      <w:r>
        <w:rPr>
          <w:rFonts w:ascii="宋体" w:hAnsi="宋体" w:cs="宋体" w:hint="eastAsia"/>
          <w:color w:val="333333"/>
          <w:sz w:val="28"/>
          <w:szCs w:val="28"/>
          <w:shd w:val="clear" w:color="auto" w:fill="FFFFFF"/>
        </w:rPr>
        <w:t>作为兴企之道，</w:t>
      </w:r>
      <w:r>
        <w:rPr>
          <w:rFonts w:ascii="宋体" w:hAnsi="宋体" w:cs="宋体" w:hint="eastAsia"/>
          <w:color w:val="333333"/>
          <w:sz w:val="28"/>
          <w:szCs w:val="28"/>
          <w:shd w:val="clear" w:color="auto" w:fill="FFFFFF"/>
        </w:rPr>
        <w:t>乘生态文明建设之东风，努力开展生态保护修复类工程实践，为美丽陕西做出应有的贡献。</w:t>
      </w:r>
    </w:p>
    <w:p w:rsidR="006A468D" w:rsidRDefault="00B912AB">
      <w:pPr>
        <w:pStyle w:val="a7"/>
        <w:shd w:val="clear" w:color="auto" w:fill="FFFFFF"/>
        <w:spacing w:before="0" w:beforeAutospacing="0" w:after="0" w:afterAutospacing="0"/>
        <w:ind w:firstLine="420"/>
        <w:rPr>
          <w:rFonts w:cs="宋体" w:hint="default"/>
          <w:color w:val="333333"/>
          <w:sz w:val="28"/>
          <w:szCs w:val="28"/>
          <w:shd w:val="clear" w:color="auto" w:fill="FFFFFF"/>
        </w:rPr>
      </w:pPr>
      <w:r>
        <w:rPr>
          <w:rFonts w:cs="宋体"/>
          <w:color w:val="333333"/>
          <w:sz w:val="28"/>
          <w:szCs w:val="28"/>
          <w:shd w:val="clear" w:color="auto" w:fill="FFFFFF"/>
        </w:rPr>
        <w:t xml:space="preserve"> </w:t>
      </w:r>
      <w:r>
        <w:rPr>
          <w:rFonts w:cs="宋体"/>
          <w:color w:val="333333"/>
          <w:sz w:val="28"/>
          <w:szCs w:val="28"/>
          <w:shd w:val="clear" w:color="auto" w:fill="FFFFFF"/>
        </w:rPr>
        <w:t>公司蓬勃发展之际，欢迎水利、土地整治、岩土工程人才加盟。</w:t>
      </w:r>
      <w:r>
        <w:rPr>
          <w:rFonts w:cs="宋体"/>
          <w:color w:val="333333"/>
          <w:sz w:val="28"/>
          <w:szCs w:val="28"/>
          <w:shd w:val="clear" w:color="auto" w:fill="FFFFFF"/>
        </w:rPr>
        <w:t xml:space="preserve"> </w:t>
      </w:r>
    </w:p>
    <w:p w:rsidR="006A468D" w:rsidRDefault="006A468D">
      <w:pPr>
        <w:pStyle w:val="a7"/>
        <w:shd w:val="clear" w:color="auto" w:fill="FFFFFF"/>
        <w:spacing w:before="0" w:beforeAutospacing="0" w:after="0" w:afterAutospacing="0"/>
        <w:ind w:firstLine="420"/>
        <w:rPr>
          <w:rFonts w:cs="宋体" w:hint="default"/>
          <w:color w:val="333333"/>
          <w:sz w:val="28"/>
          <w:szCs w:val="28"/>
          <w:shd w:val="clear" w:color="auto" w:fill="FFFFFF"/>
        </w:rPr>
      </w:pPr>
    </w:p>
    <w:p w:rsidR="006A468D" w:rsidRDefault="00B912AB">
      <w:pPr>
        <w:pStyle w:val="a7"/>
        <w:shd w:val="clear" w:color="auto" w:fill="FFFFFF"/>
        <w:spacing w:before="0" w:beforeAutospacing="0" w:after="0" w:afterAutospacing="0"/>
        <w:ind w:firstLine="420"/>
        <w:rPr>
          <w:rFonts w:cs="宋体" w:hint="default"/>
          <w:color w:val="333333"/>
          <w:sz w:val="28"/>
          <w:szCs w:val="28"/>
          <w:shd w:val="clear" w:color="auto" w:fill="FFFFFF"/>
        </w:rPr>
      </w:pPr>
      <w:r>
        <w:rPr>
          <w:rFonts w:cs="宋体"/>
          <w:color w:val="333333"/>
          <w:sz w:val="28"/>
          <w:szCs w:val="28"/>
          <w:shd w:val="clear" w:color="auto" w:fill="FFFFFF"/>
        </w:rPr>
        <w:t>联系人：魏主任</w:t>
      </w:r>
    </w:p>
    <w:p w:rsidR="006A468D" w:rsidRDefault="00B912AB">
      <w:pPr>
        <w:pStyle w:val="a7"/>
        <w:shd w:val="clear" w:color="auto" w:fill="FFFFFF"/>
        <w:spacing w:before="0" w:beforeAutospacing="0" w:after="0" w:afterAutospacing="0"/>
        <w:ind w:firstLine="420"/>
        <w:rPr>
          <w:rFonts w:cs="宋体" w:hint="default"/>
          <w:color w:val="333333"/>
          <w:sz w:val="28"/>
          <w:szCs w:val="28"/>
          <w:shd w:val="clear" w:color="auto" w:fill="FFFFFF"/>
        </w:rPr>
      </w:pPr>
      <w:r>
        <w:rPr>
          <w:rFonts w:cs="宋体"/>
          <w:color w:val="333333"/>
          <w:sz w:val="28"/>
          <w:szCs w:val="28"/>
          <w:shd w:val="clear" w:color="auto" w:fill="FFFFFF"/>
        </w:rPr>
        <w:t>电话：</w:t>
      </w:r>
      <w:r>
        <w:rPr>
          <w:rFonts w:cs="宋体"/>
          <w:color w:val="333333"/>
          <w:sz w:val="28"/>
          <w:szCs w:val="28"/>
          <w:shd w:val="clear" w:color="auto" w:fill="FFFFFF"/>
        </w:rPr>
        <w:t>13700225686</w:t>
      </w:r>
    </w:p>
    <w:p w:rsidR="006A468D" w:rsidRDefault="006A468D">
      <w:pPr>
        <w:pStyle w:val="a7"/>
        <w:shd w:val="clear" w:color="auto" w:fill="FFFFFF"/>
        <w:spacing w:before="0" w:beforeAutospacing="0" w:after="0" w:afterAutospacing="0"/>
        <w:ind w:firstLine="420"/>
        <w:rPr>
          <w:rFonts w:cs="宋体" w:hint="default"/>
          <w:color w:val="333333"/>
          <w:sz w:val="28"/>
          <w:szCs w:val="28"/>
          <w:shd w:val="clear" w:color="auto" w:fill="FFFFFF"/>
        </w:rPr>
      </w:pPr>
    </w:p>
    <w:p w:rsidR="006A468D" w:rsidRDefault="006A468D">
      <w:pPr>
        <w:pStyle w:val="a7"/>
        <w:shd w:val="clear" w:color="auto" w:fill="FFFFFF"/>
        <w:spacing w:before="0" w:beforeAutospacing="0" w:after="0" w:afterAutospacing="0"/>
        <w:ind w:firstLine="420"/>
        <w:rPr>
          <w:rFonts w:cs="宋体" w:hint="default"/>
          <w:color w:val="333333"/>
          <w:sz w:val="28"/>
          <w:szCs w:val="28"/>
          <w:shd w:val="clear" w:color="auto" w:fill="FFFFFF"/>
        </w:rPr>
      </w:pPr>
    </w:p>
    <w:p w:rsidR="006A468D" w:rsidRDefault="006A468D">
      <w:pPr>
        <w:pStyle w:val="a7"/>
        <w:shd w:val="clear" w:color="auto" w:fill="FFFFFF"/>
        <w:spacing w:before="0" w:beforeAutospacing="0" w:after="0" w:afterAutospacing="0"/>
        <w:ind w:firstLine="420"/>
        <w:rPr>
          <w:rFonts w:cs="宋体" w:hint="default"/>
          <w:color w:val="333333"/>
          <w:sz w:val="28"/>
          <w:szCs w:val="28"/>
          <w:shd w:val="clear" w:color="auto" w:fill="FFFFFF"/>
        </w:rPr>
      </w:pPr>
    </w:p>
    <w:p w:rsidR="006A468D" w:rsidRDefault="006A468D">
      <w:pPr>
        <w:pStyle w:val="a7"/>
        <w:shd w:val="clear" w:color="auto" w:fill="FFFFFF"/>
        <w:spacing w:before="0" w:beforeAutospacing="0" w:after="0" w:afterAutospacing="0"/>
        <w:ind w:firstLine="420"/>
        <w:rPr>
          <w:rFonts w:cs="宋体" w:hint="default"/>
          <w:color w:val="333333"/>
          <w:sz w:val="28"/>
          <w:szCs w:val="28"/>
          <w:shd w:val="clear" w:color="auto" w:fill="FFFFFF"/>
        </w:rPr>
      </w:pPr>
    </w:p>
    <w:p w:rsidR="006A468D" w:rsidRDefault="006A468D">
      <w:pPr>
        <w:pStyle w:val="a7"/>
        <w:shd w:val="clear" w:color="auto" w:fill="FFFFFF"/>
        <w:spacing w:before="0" w:beforeAutospacing="0" w:after="0" w:afterAutospacing="0"/>
        <w:ind w:firstLine="420"/>
        <w:rPr>
          <w:rFonts w:cs="宋体" w:hint="default"/>
          <w:color w:val="333333"/>
          <w:sz w:val="28"/>
          <w:szCs w:val="28"/>
          <w:shd w:val="clear" w:color="auto" w:fill="FFFFFF"/>
        </w:rPr>
      </w:pPr>
    </w:p>
    <w:p w:rsidR="006A468D" w:rsidRDefault="006A468D">
      <w:pPr>
        <w:pStyle w:val="a7"/>
        <w:shd w:val="clear" w:color="auto" w:fill="FFFFFF"/>
        <w:spacing w:before="0" w:beforeAutospacing="0" w:after="0" w:afterAutospacing="0"/>
        <w:ind w:firstLine="420"/>
        <w:rPr>
          <w:rFonts w:cs="宋体" w:hint="default"/>
          <w:color w:val="333333"/>
          <w:sz w:val="28"/>
          <w:szCs w:val="28"/>
          <w:shd w:val="clear" w:color="auto" w:fill="FFFFFF"/>
        </w:rPr>
      </w:pPr>
    </w:p>
    <w:p w:rsidR="006A468D" w:rsidRDefault="00B912AB">
      <w:pPr>
        <w:rPr>
          <w:rFonts w:cs="宋体"/>
          <w:color w:val="333333"/>
          <w:sz w:val="28"/>
          <w:szCs w:val="28"/>
          <w:shd w:val="clear" w:color="auto" w:fill="FFFFFF"/>
        </w:rPr>
      </w:pPr>
      <w:r>
        <w:rPr>
          <w:rFonts w:cs="宋体" w:hint="eastAsia"/>
          <w:color w:val="333333"/>
          <w:sz w:val="28"/>
          <w:szCs w:val="28"/>
          <w:shd w:val="clear" w:color="auto" w:fill="FFFFFF"/>
        </w:rPr>
        <w:br w:type="page"/>
      </w:r>
    </w:p>
    <w:p w:rsidR="006A468D" w:rsidRDefault="006A468D">
      <w:pPr>
        <w:pStyle w:val="a7"/>
        <w:shd w:val="clear" w:color="auto" w:fill="FFFFFF"/>
        <w:spacing w:before="0" w:beforeAutospacing="0" w:after="0" w:afterAutospacing="0"/>
        <w:ind w:firstLine="420"/>
        <w:rPr>
          <w:rFonts w:cs="宋体" w:hint="default"/>
          <w:color w:val="333333"/>
          <w:sz w:val="28"/>
          <w:szCs w:val="28"/>
          <w:shd w:val="clear" w:color="auto" w:fill="FFFFFF"/>
        </w:rPr>
      </w:pPr>
    </w:p>
    <w:p w:rsidR="006A468D" w:rsidRDefault="006A468D">
      <w:pPr>
        <w:pStyle w:val="a7"/>
        <w:shd w:val="clear" w:color="auto" w:fill="FFFFFF"/>
        <w:spacing w:before="0" w:beforeAutospacing="0" w:after="0" w:afterAutospacing="0"/>
        <w:ind w:firstLine="420"/>
        <w:rPr>
          <w:rFonts w:cs="宋体" w:hint="default"/>
          <w:color w:val="333333"/>
          <w:sz w:val="28"/>
          <w:szCs w:val="28"/>
          <w:shd w:val="clear" w:color="auto" w:fill="FFFFFF"/>
        </w:rPr>
      </w:pPr>
    </w:p>
    <w:p w:rsidR="006A468D" w:rsidRDefault="00B912AB">
      <w:pPr>
        <w:jc w:val="center"/>
        <w:rPr>
          <w:rFonts w:ascii="黑体" w:eastAsia="黑体"/>
          <w:sz w:val="36"/>
          <w:szCs w:val="36"/>
        </w:rPr>
      </w:pPr>
      <w:r>
        <w:rPr>
          <w:rFonts w:ascii="黑体" w:eastAsia="黑体" w:hint="eastAsia"/>
          <w:sz w:val="36"/>
          <w:szCs w:val="36"/>
        </w:rPr>
        <w:t xml:space="preserve"> </w:t>
      </w:r>
      <w:r>
        <w:rPr>
          <w:rFonts w:ascii="黑体" w:eastAsia="黑体" w:hint="eastAsia"/>
          <w:sz w:val="36"/>
          <w:szCs w:val="36"/>
        </w:rPr>
        <w:t>地质灾害管理及预报预警系统研发团队</w:t>
      </w:r>
    </w:p>
    <w:p w:rsidR="006A468D" w:rsidRDefault="00B912AB">
      <w:pPr>
        <w:jc w:val="center"/>
        <w:rPr>
          <w:rFonts w:ascii="黑体" w:eastAsia="黑体"/>
          <w:sz w:val="36"/>
          <w:szCs w:val="36"/>
        </w:rPr>
      </w:pPr>
      <w:r>
        <w:rPr>
          <w:rFonts w:ascii="黑体" w:eastAsia="黑体" w:hint="eastAsia"/>
          <w:sz w:val="36"/>
          <w:szCs w:val="36"/>
        </w:rPr>
        <w:t>简介</w:t>
      </w:r>
    </w:p>
    <w:p w:rsidR="006A468D" w:rsidRDefault="00B912AB">
      <w:pPr>
        <w:spacing w:line="360" w:lineRule="auto"/>
        <w:ind w:firstLineChars="250" w:firstLine="600"/>
        <w:rPr>
          <w:rFonts w:ascii="宋体" w:hAnsi="宋体"/>
          <w:sz w:val="24"/>
        </w:rPr>
      </w:pPr>
      <w:r>
        <w:rPr>
          <w:rFonts w:ascii="宋体" w:hAnsi="宋体" w:hint="eastAsia"/>
          <w:sz w:val="24"/>
        </w:rPr>
        <w:t>我公司联合</w:t>
      </w:r>
      <w:r>
        <w:rPr>
          <w:rFonts w:ascii="宋体" w:hAnsi="宋体" w:hint="eastAsia"/>
          <w:sz w:val="24"/>
        </w:rPr>
        <w:t>中国有色金属工业西安勘察设计研究院</w:t>
      </w:r>
      <w:r>
        <w:rPr>
          <w:rFonts w:ascii="宋体" w:hAnsi="宋体" w:hint="eastAsia"/>
          <w:sz w:val="24"/>
        </w:rPr>
        <w:t>、</w:t>
      </w:r>
      <w:r>
        <w:rPr>
          <w:rFonts w:ascii="宋体" w:hAnsi="宋体" w:hint="eastAsia"/>
          <w:sz w:val="24"/>
        </w:rPr>
        <w:t>西安科技大学、西安建筑科技大学、长安大学、西安理工大学、西安工业大学、陕西省地质环境监测总站、陕西省地质调查院的多名教授、专家</w:t>
      </w:r>
      <w:r>
        <w:rPr>
          <w:rFonts w:ascii="宋体" w:hAnsi="宋体" w:hint="eastAsia"/>
          <w:sz w:val="24"/>
        </w:rPr>
        <w:t>，</w:t>
      </w:r>
      <w:r>
        <w:rPr>
          <w:rFonts w:ascii="宋体" w:hAnsi="宋体" w:hint="eastAsia"/>
          <w:sz w:val="24"/>
        </w:rPr>
        <w:t>成立了“地质灾害管理及预警预报系统研发团队”，致力于地质灾害的风险管理和预警预报研究。</w:t>
      </w:r>
    </w:p>
    <w:p w:rsidR="006A468D" w:rsidRDefault="00B912AB">
      <w:pPr>
        <w:spacing w:line="360" w:lineRule="auto"/>
        <w:ind w:firstLineChars="250" w:firstLine="600"/>
        <w:rPr>
          <w:rFonts w:ascii="宋体" w:hAnsi="宋体"/>
          <w:b/>
          <w:bCs/>
          <w:sz w:val="24"/>
        </w:rPr>
      </w:pPr>
      <w:r>
        <w:rPr>
          <w:rFonts w:ascii="宋体" w:hAnsi="宋体" w:hint="eastAsia"/>
          <w:sz w:val="24"/>
        </w:rPr>
        <w:t>目前，</w:t>
      </w:r>
      <w:r>
        <w:rPr>
          <w:rFonts w:ascii="宋体" w:hAnsi="宋体" w:hint="eastAsia"/>
          <w:sz w:val="24"/>
        </w:rPr>
        <w:t>利用勉县、略阳、宁强、陈仓灾后重建资金，由我团队负责完成了勉县膨胀土滑坡机理研究、宁强县堆积层滑坡机理研究、略阳县堆积层滑坡机理研究、陈仓黄土地质灾害成因机理研究、微型桩对浅层滑坡的加固机理研究、县域地</w:t>
      </w:r>
      <w:r>
        <w:rPr>
          <w:rFonts w:ascii="宋体" w:hAnsi="宋体" w:hint="eastAsia"/>
          <w:sz w:val="24"/>
        </w:rPr>
        <w:t>质灾害风险管理研究、县域地质灾害气象预报预警研究、地质灾害风险管理系统建设研究等。通过上述研究，建成了“县域地质灾害风险管理</w:t>
      </w:r>
      <w:r>
        <w:rPr>
          <w:rFonts w:ascii="宋体" w:hAnsi="宋体" w:hint="eastAsia"/>
          <w:sz w:val="24"/>
        </w:rPr>
        <w:t>信息</w:t>
      </w:r>
      <w:r>
        <w:rPr>
          <w:rFonts w:ascii="宋体" w:hAnsi="宋体" w:hint="eastAsia"/>
          <w:sz w:val="24"/>
        </w:rPr>
        <w:t>系统”。</w:t>
      </w:r>
      <w:r>
        <w:rPr>
          <w:rFonts w:ascii="宋体" w:hAnsi="宋体" w:hint="eastAsia"/>
          <w:b/>
          <w:bCs/>
          <w:sz w:val="24"/>
        </w:rPr>
        <w:t>该项目获得陕西省科技二等奖、陕西优秀勘察工程一等奖。</w:t>
      </w:r>
    </w:p>
    <w:p w:rsidR="006A468D" w:rsidRDefault="00B912AB">
      <w:pPr>
        <w:spacing w:line="360" w:lineRule="auto"/>
        <w:rPr>
          <w:rFonts w:ascii="宋体" w:hAnsi="宋体"/>
          <w:sz w:val="24"/>
        </w:rPr>
      </w:pPr>
      <w:r>
        <w:rPr>
          <w:rFonts w:ascii="宋体" w:hAnsi="宋体" w:hint="eastAsia"/>
          <w:noProof/>
          <w:sz w:val="24"/>
        </w:rPr>
        <w:drawing>
          <wp:inline distT="0" distB="0" distL="114300" distR="114300">
            <wp:extent cx="2634615" cy="1950085"/>
            <wp:effectExtent l="0" t="0" r="13335" b="12065"/>
            <wp:docPr id="22" name="图片 28" descr="PC17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 descr="PC170223"/>
                    <pic:cNvPicPr>
                      <a:picLocks noChangeAspect="1"/>
                    </pic:cNvPicPr>
                  </pic:nvPicPr>
                  <pic:blipFill>
                    <a:blip r:embed="rId7"/>
                    <a:stretch>
                      <a:fillRect/>
                    </a:stretch>
                  </pic:blipFill>
                  <pic:spPr>
                    <a:xfrm>
                      <a:off x="0" y="0"/>
                      <a:ext cx="2634615" cy="1950085"/>
                    </a:xfrm>
                    <a:prstGeom prst="rect">
                      <a:avLst/>
                    </a:prstGeom>
                    <a:noFill/>
                    <a:ln w="9525">
                      <a:noFill/>
                    </a:ln>
                  </pic:spPr>
                </pic:pic>
              </a:graphicData>
            </a:graphic>
          </wp:inline>
        </w:drawing>
      </w:r>
      <w:r>
        <w:rPr>
          <w:rFonts w:ascii="宋体" w:hAnsi="宋体" w:hint="eastAsia"/>
          <w:noProof/>
          <w:sz w:val="24"/>
        </w:rPr>
        <w:drawing>
          <wp:inline distT="0" distB="0" distL="114300" distR="114300">
            <wp:extent cx="2626995" cy="1970405"/>
            <wp:effectExtent l="0" t="0" r="1905" b="10795"/>
            <wp:docPr id="23" name="图片 27" descr="DSC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DSC00015"/>
                    <pic:cNvPicPr>
                      <a:picLocks noChangeAspect="1"/>
                    </pic:cNvPicPr>
                  </pic:nvPicPr>
                  <pic:blipFill>
                    <a:blip r:embed="rId8"/>
                    <a:stretch>
                      <a:fillRect/>
                    </a:stretch>
                  </pic:blipFill>
                  <pic:spPr>
                    <a:xfrm>
                      <a:off x="0" y="0"/>
                      <a:ext cx="2626995" cy="1970405"/>
                    </a:xfrm>
                    <a:prstGeom prst="rect">
                      <a:avLst/>
                    </a:prstGeom>
                    <a:noFill/>
                    <a:ln w="9525">
                      <a:noFill/>
                    </a:ln>
                  </pic:spPr>
                </pic:pic>
              </a:graphicData>
            </a:graphic>
          </wp:inline>
        </w:drawing>
      </w:r>
    </w:p>
    <w:p w:rsidR="006A468D" w:rsidRDefault="00B912AB">
      <w:pPr>
        <w:spacing w:line="360" w:lineRule="auto"/>
        <w:ind w:firstLineChars="200" w:firstLine="480"/>
        <w:rPr>
          <w:rFonts w:ascii="宋体" w:hAnsi="宋体"/>
          <w:sz w:val="24"/>
        </w:rPr>
      </w:pPr>
      <w:r>
        <w:rPr>
          <w:rFonts w:ascii="宋体" w:hAnsi="宋体" w:hint="eastAsia"/>
          <w:sz w:val="24"/>
        </w:rPr>
        <w:t xml:space="preserve">                </w:t>
      </w:r>
      <w:r>
        <w:rPr>
          <w:rFonts w:ascii="宋体" w:hAnsi="宋体" w:hint="eastAsia"/>
          <w:sz w:val="24"/>
        </w:rPr>
        <w:t>风险管理</w:t>
      </w:r>
      <w:r>
        <w:rPr>
          <w:rFonts w:ascii="宋体" w:hAnsi="宋体" w:hint="eastAsia"/>
          <w:sz w:val="24"/>
        </w:rPr>
        <w:t>信息</w:t>
      </w:r>
      <w:r>
        <w:rPr>
          <w:rFonts w:ascii="宋体" w:hAnsi="宋体" w:hint="eastAsia"/>
          <w:sz w:val="24"/>
        </w:rPr>
        <w:t>系统研发验收会</w:t>
      </w:r>
    </w:p>
    <w:p w:rsidR="006A468D" w:rsidRDefault="00B912AB">
      <w:pPr>
        <w:spacing w:line="360" w:lineRule="auto"/>
        <w:ind w:firstLineChars="200" w:firstLine="480"/>
        <w:rPr>
          <w:rFonts w:ascii="宋体" w:hAnsi="宋体"/>
          <w:sz w:val="24"/>
        </w:rPr>
      </w:pPr>
      <w:r>
        <w:rPr>
          <w:rFonts w:ascii="宋体" w:hAnsi="宋体" w:hint="eastAsia"/>
          <w:sz w:val="24"/>
        </w:rPr>
        <w:t>县域地质灾害风险管理系统（</w:t>
      </w:r>
      <w:r>
        <w:rPr>
          <w:rFonts w:ascii="宋体" w:hAnsi="宋体" w:hint="eastAsia"/>
          <w:sz w:val="24"/>
        </w:rPr>
        <w:t>CGHRMIS</w:t>
      </w:r>
      <w:r>
        <w:rPr>
          <w:rFonts w:ascii="宋体" w:hAnsi="宋体"/>
          <w:sz w:val="24"/>
        </w:rPr>
        <w:t>）</w:t>
      </w:r>
      <w:r>
        <w:rPr>
          <w:rFonts w:ascii="宋体" w:hAnsi="宋体" w:hint="eastAsia"/>
          <w:sz w:val="24"/>
        </w:rPr>
        <w:t>是在</w:t>
      </w:r>
      <w:r>
        <w:rPr>
          <w:rFonts w:ascii="宋体" w:hAnsi="宋体" w:hint="eastAsia"/>
          <w:sz w:val="24"/>
        </w:rPr>
        <w:t>MAPGIS6.7</w:t>
      </w:r>
      <w:r>
        <w:rPr>
          <w:rFonts w:ascii="宋体" w:hAnsi="宋体" w:hint="eastAsia"/>
          <w:sz w:val="24"/>
        </w:rPr>
        <w:t>软件开发包的基础上，采用</w:t>
      </w:r>
      <w:r>
        <w:rPr>
          <w:rFonts w:ascii="宋体" w:hAnsi="宋体" w:hint="eastAsia"/>
          <w:sz w:val="24"/>
        </w:rPr>
        <w:t>.net Framework</w:t>
      </w:r>
      <w:r>
        <w:rPr>
          <w:rFonts w:ascii="宋体" w:hAnsi="宋体" w:hint="eastAsia"/>
          <w:sz w:val="24"/>
        </w:rPr>
        <w:t>和</w:t>
      </w:r>
      <w:r>
        <w:rPr>
          <w:rFonts w:ascii="宋体" w:hAnsi="宋体" w:hint="eastAsia"/>
          <w:sz w:val="24"/>
        </w:rPr>
        <w:t>C#</w:t>
      </w:r>
      <w:r>
        <w:rPr>
          <w:rFonts w:ascii="宋体" w:hAnsi="宋体" w:hint="eastAsia"/>
          <w:sz w:val="24"/>
        </w:rPr>
        <w:t>等开发语言进行二次开发，主要用于我国县级国土资源部门对县域地质环境和地质灾害等相关数据进行信息化管理、对地质灾害的危险性、易损性、风险</w:t>
      </w:r>
      <w:r>
        <w:rPr>
          <w:rFonts w:ascii="宋体" w:hAnsi="宋体" w:hint="eastAsia"/>
          <w:sz w:val="24"/>
        </w:rPr>
        <w:t>性等进行计算、分析评价、预报预警及风险控制等，以提升对地质灾害的防治水平及防灾减灾能力，为县域土地资源利用规划提供技术依据。系统主要包括用户管理和安全管理、基础数据（属性数据和空间数据等）管理、空间分析、</w:t>
      </w:r>
      <w:r>
        <w:rPr>
          <w:rFonts w:ascii="宋体" w:hAnsi="宋体" w:hint="eastAsia"/>
          <w:sz w:val="24"/>
        </w:rPr>
        <w:lastRenderedPageBreak/>
        <w:t>地质灾害风险评价和预警预报及信息发布等功能。</w:t>
      </w:r>
    </w:p>
    <w:p w:rsidR="006A468D" w:rsidRDefault="00B912AB">
      <w:pPr>
        <w:spacing w:line="360" w:lineRule="auto"/>
        <w:ind w:firstLineChars="200" w:firstLine="480"/>
        <w:rPr>
          <w:rFonts w:ascii="宋体" w:hAnsi="宋体"/>
          <w:sz w:val="24"/>
        </w:rPr>
      </w:pPr>
      <w:r>
        <w:rPr>
          <w:rFonts w:ascii="宋体" w:hAnsi="宋体" w:hint="eastAsia"/>
          <w:sz w:val="24"/>
        </w:rPr>
        <w:t>1</w:t>
      </w:r>
      <w:r>
        <w:rPr>
          <w:rFonts w:ascii="宋体" w:hAnsi="宋体" w:hint="eastAsia"/>
          <w:sz w:val="24"/>
        </w:rPr>
        <w:t>）系统维护与用户管理功能</w:t>
      </w:r>
    </w:p>
    <w:p w:rsidR="006A468D" w:rsidRDefault="00B912AB">
      <w:pPr>
        <w:spacing w:line="360" w:lineRule="auto"/>
        <w:ind w:firstLine="482"/>
        <w:rPr>
          <w:sz w:val="24"/>
        </w:rPr>
      </w:pPr>
      <w:r>
        <w:rPr>
          <w:rFonts w:hint="eastAsia"/>
          <w:sz w:val="24"/>
        </w:rPr>
        <w:t>系统维护和用户管理主要包括四个功能，分别是服务器连接配置、空间图形库配置、用户安全及权限管理及气象、易损性基础数据管理。</w:t>
      </w:r>
    </w:p>
    <w:p w:rsidR="006A468D" w:rsidRDefault="00B912AB">
      <w:pPr>
        <w:jc w:val="center"/>
        <w:rPr>
          <w:rFonts w:ascii="宋体" w:hAnsi="宋体"/>
          <w:b/>
          <w:szCs w:val="21"/>
        </w:rPr>
      </w:pPr>
      <w:r>
        <w:rPr>
          <w:noProof/>
        </w:rPr>
        <w:object w:dxaOrig="9353" w:dyaOrig="3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175pt" o:ole="">
            <v:imagedata r:id="rId9" o:title=""/>
          </v:shape>
          <o:OLEObject Type="Embed" ProgID="Visio.Drawing.11" ShapeID="_x0000_i1025" DrawAspect="Content" ObjectID="_1626376638" r:id="rId10"/>
        </w:object>
      </w:r>
      <w:r>
        <w:rPr>
          <w:rFonts w:ascii="宋体" w:hAnsi="宋体"/>
          <w:b/>
          <w:szCs w:val="21"/>
        </w:rPr>
        <w:t>系统维护</w:t>
      </w:r>
      <w:r>
        <w:rPr>
          <w:rFonts w:ascii="宋体" w:hAnsi="宋体" w:hint="eastAsia"/>
          <w:b/>
          <w:szCs w:val="21"/>
        </w:rPr>
        <w:t>和用户管理的系统结构图</w:t>
      </w:r>
    </w:p>
    <w:p w:rsidR="006A468D" w:rsidRDefault="00B912AB">
      <w:pPr>
        <w:spacing w:beforeLines="50" w:before="156" w:line="360" w:lineRule="auto"/>
        <w:ind w:firstLine="482"/>
        <w:rPr>
          <w:sz w:val="24"/>
        </w:rPr>
      </w:pPr>
      <w:r>
        <w:rPr>
          <w:rFonts w:hint="eastAsia"/>
          <w:sz w:val="24"/>
        </w:rPr>
        <w:t>其中服务器连接配置包括数据开服务器和</w:t>
      </w:r>
      <w:r>
        <w:rPr>
          <w:rFonts w:hint="eastAsia"/>
          <w:sz w:val="24"/>
        </w:rPr>
        <w:t>FTP</w:t>
      </w:r>
      <w:r>
        <w:rPr>
          <w:rFonts w:hint="eastAsia"/>
          <w:sz w:val="24"/>
        </w:rPr>
        <w:t>服务器配置，其中数据库连接配置主要配置服务器名称、数据库名称和用户名和密码，</w:t>
      </w:r>
      <w:r>
        <w:rPr>
          <w:rFonts w:hint="eastAsia"/>
          <w:sz w:val="24"/>
        </w:rPr>
        <w:t>FTP</w:t>
      </w:r>
      <w:r>
        <w:rPr>
          <w:rFonts w:hint="eastAsia"/>
          <w:sz w:val="24"/>
        </w:rPr>
        <w:t>服务器配置包括服务器名称、用户名和密码；空间图形库配置对不同地质灾害不同种类不同规模设置不同的子图和相关子图属性进行配置，以及地质灾害标注的配置；用户安全及权限管理模块主要包括用户基本信息、系统功能配置、角色权限设置、用户权限和安全设置等；气象、易损性基础数据管理包括气象代码管理、雨量站导入、人员数据导入、财产数据导入、专业监测点配置及其监测数据导入等。</w:t>
      </w:r>
    </w:p>
    <w:p w:rsidR="006A468D" w:rsidRDefault="00B912AB">
      <w:pPr>
        <w:spacing w:beforeLines="50" w:before="156" w:line="360" w:lineRule="auto"/>
        <w:ind w:firstLine="482"/>
        <w:rPr>
          <w:sz w:val="24"/>
        </w:rPr>
      </w:pPr>
      <w:r>
        <w:rPr>
          <w:rFonts w:hint="eastAsia"/>
          <w:sz w:val="24"/>
        </w:rPr>
        <w:t>2</w:t>
      </w:r>
      <w:r>
        <w:rPr>
          <w:rFonts w:hint="eastAsia"/>
          <w:sz w:val="24"/>
        </w:rPr>
        <w:t>）</w:t>
      </w:r>
      <w:bookmarkStart w:id="1" w:name="_Toc301442636"/>
      <w:bookmarkStart w:id="2" w:name="_Toc301696047"/>
      <w:bookmarkStart w:id="3" w:name="_Toc303410791"/>
      <w:r>
        <w:rPr>
          <w:rFonts w:hint="eastAsia"/>
          <w:sz w:val="24"/>
        </w:rPr>
        <w:t>基础</w:t>
      </w:r>
      <w:r>
        <w:rPr>
          <w:sz w:val="24"/>
        </w:rPr>
        <w:t>数据管理</w:t>
      </w:r>
      <w:bookmarkEnd w:id="1"/>
      <w:r>
        <w:rPr>
          <w:rFonts w:hint="eastAsia"/>
          <w:sz w:val="24"/>
        </w:rPr>
        <w:t>功能</w:t>
      </w:r>
      <w:bookmarkEnd w:id="2"/>
      <w:bookmarkEnd w:id="3"/>
    </w:p>
    <w:p w:rsidR="006A468D" w:rsidRDefault="00B912AB">
      <w:pPr>
        <w:spacing w:line="360" w:lineRule="auto"/>
        <w:ind w:firstLine="480"/>
        <w:rPr>
          <w:sz w:val="24"/>
        </w:rPr>
      </w:pPr>
      <w:r>
        <w:rPr>
          <w:rFonts w:hint="eastAsia"/>
          <w:sz w:val="24"/>
        </w:rPr>
        <w:t>基础数据管理包括地质灾害点及属性数据管理功能、空间图形数据管理和</w:t>
      </w:r>
      <w:bookmarkStart w:id="4" w:name="OLE_LINK10"/>
      <w:r>
        <w:rPr>
          <w:rFonts w:hint="eastAsia"/>
          <w:sz w:val="24"/>
        </w:rPr>
        <w:t>基础数据查询统计功能</w:t>
      </w:r>
      <w:bookmarkEnd w:id="4"/>
      <w:r>
        <w:rPr>
          <w:rFonts w:hint="eastAsia"/>
          <w:sz w:val="24"/>
        </w:rPr>
        <w:t>。</w:t>
      </w:r>
    </w:p>
    <w:p w:rsidR="006A468D" w:rsidRDefault="00B912AB">
      <w:pPr>
        <w:spacing w:beforeLines="50" w:before="156" w:line="360" w:lineRule="auto"/>
        <w:ind w:firstLine="482"/>
        <w:rPr>
          <w:sz w:val="24"/>
        </w:rPr>
      </w:pPr>
      <w:r>
        <w:rPr>
          <w:rFonts w:hint="eastAsia"/>
          <w:sz w:val="24"/>
        </w:rPr>
        <w:t>地质灾害点数据管理主要包括地质灾害的</w:t>
      </w:r>
      <w:r>
        <w:rPr>
          <w:sz w:val="24"/>
        </w:rPr>
        <w:t>属性数据和多媒体数据</w:t>
      </w:r>
      <w:r>
        <w:rPr>
          <w:rFonts w:hint="eastAsia"/>
          <w:sz w:val="24"/>
        </w:rPr>
        <w:t>录入、修改、删除、浏览功能；属性数据管理功能包括地质灾害点对应的勘查、设计和治理项目的管理、地质灾害点的防灾预案表、工作明白卡和避险明白卡等。</w:t>
      </w:r>
    </w:p>
    <w:p w:rsidR="006A468D" w:rsidRDefault="00B912AB">
      <w:pPr>
        <w:spacing w:line="360" w:lineRule="auto"/>
        <w:ind w:firstLine="480"/>
        <w:rPr>
          <w:sz w:val="24"/>
        </w:rPr>
      </w:pPr>
      <w:r>
        <w:rPr>
          <w:rFonts w:hint="eastAsia"/>
          <w:sz w:val="24"/>
        </w:rPr>
        <w:t>空间数据管理功能包括空间图件的图层管理和成果图件管理功能；图层管理主要针对五类图层，包括基本地理图层（含行政区划图层）、基础地质图层、水文地质图层、工程地质图层、地质灾害图层；图件管理包括成果图件配置和成果图形编</w:t>
      </w:r>
      <w:r>
        <w:rPr>
          <w:rFonts w:hint="eastAsia"/>
          <w:sz w:val="24"/>
        </w:rPr>
        <w:lastRenderedPageBreak/>
        <w:t>辑；其中地质</w:t>
      </w:r>
      <w:r>
        <w:rPr>
          <w:rFonts w:hint="eastAsia"/>
          <w:sz w:val="24"/>
        </w:rPr>
        <w:t>灾害图层是根据地质灾害图形配置由地质灾害数据库自动生成，而且可以实现地质灾害图层与灾害数据实现图属互查。</w:t>
      </w:r>
    </w:p>
    <w:p w:rsidR="006A468D" w:rsidRDefault="00B912AB">
      <w:pPr>
        <w:spacing w:line="360" w:lineRule="auto"/>
        <w:ind w:firstLineChars="250" w:firstLine="600"/>
        <w:rPr>
          <w:sz w:val="24"/>
        </w:rPr>
      </w:pPr>
      <w:r>
        <w:rPr>
          <w:rFonts w:hint="eastAsia"/>
          <w:sz w:val="24"/>
        </w:rPr>
        <w:t>基础数据查询统计功能包括灾害点的简单查询、高级查询，也包括地质灾害数据汇总、统计等，并对统计结果以饼图的形式展示比例。</w:t>
      </w:r>
    </w:p>
    <w:p w:rsidR="006A468D" w:rsidRDefault="00B912AB">
      <w:pPr>
        <w:jc w:val="center"/>
        <w:rPr>
          <w:rFonts w:ascii="宋体" w:hAnsi="宋体"/>
          <w:b/>
          <w:szCs w:val="21"/>
        </w:rPr>
      </w:pPr>
      <w:r>
        <w:rPr>
          <w:noProof/>
        </w:rPr>
        <w:object w:dxaOrig="7834" w:dyaOrig="3735">
          <v:shape id="_x0000_i1026" type="#_x0000_t75" style="width:391.55pt;height:186.65pt" o:ole="">
            <v:imagedata r:id="rId11" o:title=""/>
          </v:shape>
          <o:OLEObject Type="Embed" ProgID="Visio.Drawing.11" ShapeID="_x0000_i1026" DrawAspect="Content" ObjectID="_1626376639" r:id="rId12"/>
        </w:object>
      </w:r>
      <w:r>
        <w:rPr>
          <w:rFonts w:ascii="宋体" w:hAnsi="宋体" w:hint="eastAsia"/>
          <w:b/>
          <w:szCs w:val="21"/>
        </w:rPr>
        <w:t xml:space="preserve"> </w:t>
      </w:r>
    </w:p>
    <w:p w:rsidR="006A468D" w:rsidRDefault="00B912AB">
      <w:pPr>
        <w:jc w:val="center"/>
        <w:rPr>
          <w:rFonts w:ascii="宋体" w:hAnsi="宋体"/>
          <w:b/>
          <w:szCs w:val="21"/>
        </w:rPr>
      </w:pPr>
      <w:r>
        <w:rPr>
          <w:rFonts w:ascii="宋体" w:hAnsi="宋体" w:hint="eastAsia"/>
          <w:b/>
          <w:szCs w:val="21"/>
        </w:rPr>
        <w:t>数据管理的的系统结构图</w:t>
      </w:r>
    </w:p>
    <w:p w:rsidR="006A468D" w:rsidRDefault="00B912AB">
      <w:pPr>
        <w:spacing w:line="360" w:lineRule="auto"/>
        <w:ind w:firstLine="480"/>
        <w:rPr>
          <w:sz w:val="24"/>
        </w:rPr>
      </w:pPr>
      <w:bookmarkStart w:id="5" w:name="_Toc301696048"/>
      <w:bookmarkStart w:id="6" w:name="_Toc303410792"/>
      <w:bookmarkStart w:id="7" w:name="_Toc301442637"/>
      <w:r>
        <w:rPr>
          <w:rFonts w:hint="eastAsia"/>
          <w:sz w:val="24"/>
        </w:rPr>
        <w:t>3)</w:t>
      </w:r>
      <w:r>
        <w:rPr>
          <w:rFonts w:hint="eastAsia"/>
          <w:sz w:val="24"/>
        </w:rPr>
        <w:t>气象数据管理功能</w:t>
      </w:r>
      <w:bookmarkEnd w:id="5"/>
      <w:bookmarkEnd w:id="6"/>
      <w:bookmarkEnd w:id="7"/>
    </w:p>
    <w:p w:rsidR="006A468D" w:rsidRDefault="00B912AB">
      <w:pPr>
        <w:spacing w:line="360" w:lineRule="auto"/>
        <w:ind w:firstLine="480"/>
        <w:rPr>
          <w:sz w:val="24"/>
        </w:rPr>
      </w:pPr>
      <w:r>
        <w:rPr>
          <w:rFonts w:hint="eastAsia"/>
          <w:sz w:val="24"/>
        </w:rPr>
        <w:t>气象数据的管理主要用来对市气象局每天发布的</w:t>
      </w:r>
      <w:r>
        <w:rPr>
          <w:rFonts w:hint="eastAsia"/>
          <w:sz w:val="24"/>
        </w:rPr>
        <w:t>24</w:t>
      </w:r>
      <w:r>
        <w:rPr>
          <w:rFonts w:hint="eastAsia"/>
          <w:sz w:val="24"/>
        </w:rPr>
        <w:t>小时天气预报数据及临灾气象预报数据、县雨量监测站的实况雨量数据等进行管理。</w:t>
      </w:r>
    </w:p>
    <w:p w:rsidR="006A468D" w:rsidRDefault="00B912AB">
      <w:pPr>
        <w:spacing w:line="360" w:lineRule="auto"/>
        <w:ind w:firstLine="480"/>
        <w:jc w:val="center"/>
      </w:pPr>
      <w:r>
        <w:rPr>
          <w:noProof/>
        </w:rPr>
        <w:object w:dxaOrig="2060" w:dyaOrig="2730">
          <v:shape id="_x0000_i1027" type="#_x0000_t75" style="width:103pt;height:136.25pt" o:ole="">
            <v:imagedata r:id="rId13" o:title=""/>
          </v:shape>
          <o:OLEObject Type="Embed" ProgID="Visio.Drawing.11" ShapeID="_x0000_i1027" DrawAspect="Content" ObjectID="_1626376640" r:id="rId14"/>
        </w:object>
      </w:r>
    </w:p>
    <w:p w:rsidR="006A468D" w:rsidRDefault="00B912AB">
      <w:pPr>
        <w:spacing w:line="360" w:lineRule="auto"/>
        <w:ind w:firstLine="480"/>
        <w:jc w:val="center"/>
        <w:rPr>
          <w:b/>
          <w:szCs w:val="21"/>
        </w:rPr>
      </w:pPr>
      <w:r>
        <w:rPr>
          <w:rFonts w:hint="eastAsia"/>
          <w:b/>
          <w:szCs w:val="21"/>
        </w:rPr>
        <w:t>气象数据管理模块功能设计</w:t>
      </w:r>
    </w:p>
    <w:p w:rsidR="006A468D" w:rsidRDefault="00B912AB">
      <w:pPr>
        <w:spacing w:line="360" w:lineRule="auto"/>
        <w:ind w:firstLine="480"/>
        <w:rPr>
          <w:rFonts w:ascii="宋体" w:hAnsi="宋体"/>
          <w:sz w:val="24"/>
        </w:rPr>
      </w:pPr>
      <w:r>
        <w:rPr>
          <w:rFonts w:ascii="宋体" w:hAnsi="宋体" w:hint="eastAsia"/>
          <w:b/>
          <w:sz w:val="24"/>
        </w:rPr>
        <w:t>4)</w:t>
      </w:r>
      <w:bookmarkStart w:id="8" w:name="_Toc301442638"/>
      <w:bookmarkStart w:id="9" w:name="_Toc301696049"/>
      <w:bookmarkStart w:id="10" w:name="_Toc303410793"/>
      <w:r>
        <w:rPr>
          <w:rFonts w:ascii="宋体" w:hAnsi="宋体"/>
          <w:sz w:val="24"/>
        </w:rPr>
        <w:t>空间分析</w:t>
      </w:r>
      <w:r>
        <w:rPr>
          <w:rFonts w:ascii="宋体" w:hAnsi="宋体" w:hint="eastAsia"/>
          <w:sz w:val="24"/>
        </w:rPr>
        <w:t>功能</w:t>
      </w:r>
      <w:bookmarkEnd w:id="8"/>
      <w:bookmarkEnd w:id="9"/>
      <w:bookmarkEnd w:id="10"/>
    </w:p>
    <w:p w:rsidR="006A468D" w:rsidRDefault="00B912AB">
      <w:pPr>
        <w:spacing w:line="360" w:lineRule="auto"/>
        <w:ind w:firstLine="480"/>
        <w:rPr>
          <w:sz w:val="24"/>
        </w:rPr>
      </w:pPr>
      <w:r>
        <w:rPr>
          <w:sz w:val="24"/>
        </w:rPr>
        <w:t>空间分析能够提供图形数据的叠置分析、缓冲区分析等功能。让用户能够利用满足文件结构要求的任意文件之间进行必要的空间分析操作，得出相应的分析结果，该功能主要是方便高端用户进行基础图形数据处理和分析</w:t>
      </w:r>
      <w:r>
        <w:rPr>
          <w:rFonts w:hint="eastAsia"/>
          <w:sz w:val="24"/>
        </w:rPr>
        <w:t>，具体包括区区求并、区区求交、区区求差、线区求交、点区求交、点缓冲区、线缓冲区、区缓冲区、单点缓冲区、单线缓冲区和单区缓冲区</w:t>
      </w:r>
      <w:r>
        <w:rPr>
          <w:sz w:val="24"/>
        </w:rPr>
        <w:t>。</w:t>
      </w:r>
    </w:p>
    <w:p w:rsidR="006A468D" w:rsidRDefault="00B912AB">
      <w:pPr>
        <w:spacing w:line="360" w:lineRule="auto"/>
        <w:jc w:val="center"/>
        <w:rPr>
          <w:sz w:val="24"/>
        </w:rPr>
      </w:pPr>
      <w:r>
        <w:rPr>
          <w:noProof/>
          <w:sz w:val="24"/>
        </w:rPr>
        <w:object w:dxaOrig="6318" w:dyaOrig="2598">
          <v:shape id="_x0000_i1028" type="#_x0000_t75" style="width:315.7pt;height:130.15pt" o:ole="">
            <v:imagedata r:id="rId15" o:title=""/>
          </v:shape>
          <o:OLEObject Type="Embed" ProgID="Visio.Drawing.11" ShapeID="_x0000_i1028" DrawAspect="Content" ObjectID="_1626376641" r:id="rId16"/>
        </w:object>
      </w:r>
    </w:p>
    <w:p w:rsidR="006A468D" w:rsidRDefault="00B912AB">
      <w:pPr>
        <w:spacing w:beforeLines="50" w:before="156"/>
        <w:jc w:val="center"/>
        <w:rPr>
          <w:rFonts w:ascii="宋体" w:hAnsi="宋体"/>
          <w:b/>
          <w:sz w:val="24"/>
        </w:rPr>
      </w:pPr>
      <w:bookmarkStart w:id="11" w:name="OLE_LINK8"/>
      <w:r>
        <w:rPr>
          <w:rFonts w:ascii="宋体" w:hAnsi="宋体" w:hint="eastAsia"/>
          <w:b/>
          <w:sz w:val="24"/>
        </w:rPr>
        <w:t>空间分析的的系统结构图</w:t>
      </w:r>
    </w:p>
    <w:p w:rsidR="006A468D" w:rsidRDefault="00B912AB">
      <w:pPr>
        <w:spacing w:beforeLines="50" w:before="156" w:line="360" w:lineRule="auto"/>
        <w:ind w:firstLineChars="196" w:firstLine="472"/>
        <w:rPr>
          <w:sz w:val="24"/>
        </w:rPr>
      </w:pPr>
      <w:r>
        <w:rPr>
          <w:rFonts w:ascii="宋体" w:hAnsi="宋体" w:hint="eastAsia"/>
          <w:b/>
          <w:sz w:val="24"/>
        </w:rPr>
        <w:t>5)</w:t>
      </w:r>
      <w:bookmarkStart w:id="12" w:name="_Toc301442639"/>
      <w:bookmarkStart w:id="13" w:name="_Toc301696050"/>
      <w:bookmarkStart w:id="14" w:name="_Toc303410794"/>
      <w:bookmarkEnd w:id="11"/>
      <w:r>
        <w:rPr>
          <w:rFonts w:hint="eastAsia"/>
          <w:sz w:val="24"/>
        </w:rPr>
        <w:t>县域地质灾害</w:t>
      </w:r>
      <w:r>
        <w:rPr>
          <w:sz w:val="24"/>
        </w:rPr>
        <w:t>风险</w:t>
      </w:r>
      <w:r>
        <w:rPr>
          <w:rFonts w:hint="eastAsia"/>
          <w:sz w:val="24"/>
        </w:rPr>
        <w:t>评价功能</w:t>
      </w:r>
      <w:bookmarkEnd w:id="12"/>
      <w:bookmarkEnd w:id="13"/>
      <w:bookmarkEnd w:id="14"/>
    </w:p>
    <w:p w:rsidR="006A468D" w:rsidRDefault="00B912AB">
      <w:pPr>
        <w:spacing w:line="360" w:lineRule="auto"/>
        <w:ind w:firstLine="482"/>
        <w:rPr>
          <w:sz w:val="24"/>
        </w:rPr>
      </w:pPr>
      <w:bookmarkStart w:id="15" w:name="OLE_LINK17"/>
      <w:bookmarkStart w:id="16" w:name="OLE_LINK18"/>
      <w:r>
        <w:rPr>
          <w:rFonts w:hint="eastAsia"/>
          <w:sz w:val="24"/>
        </w:rPr>
        <w:t>县域地质灾害风险性评价包括地质灾害年风险性评价</w:t>
      </w:r>
      <w:bookmarkStart w:id="17" w:name="OLE_LINK7"/>
      <w:r>
        <w:rPr>
          <w:rFonts w:hint="eastAsia"/>
          <w:sz w:val="24"/>
        </w:rPr>
        <w:t>和地质灾害动态风险性评价</w:t>
      </w:r>
      <w:bookmarkEnd w:id="17"/>
      <w:r>
        <w:rPr>
          <w:rFonts w:hint="eastAsia"/>
          <w:sz w:val="24"/>
        </w:rPr>
        <w:t>。</w:t>
      </w:r>
    </w:p>
    <w:p w:rsidR="006A468D" w:rsidRDefault="00B912AB">
      <w:pPr>
        <w:spacing w:line="360" w:lineRule="auto"/>
        <w:ind w:firstLine="482"/>
        <w:jc w:val="center"/>
      </w:pPr>
      <w:r>
        <w:rPr>
          <w:noProof/>
        </w:rPr>
        <w:object w:dxaOrig="6902" w:dyaOrig="3958">
          <v:shape id="_x0000_i1029" type="#_x0000_t75" style="width:345.05pt;height:197.7pt" o:ole="">
            <v:imagedata r:id="rId17" o:title=""/>
          </v:shape>
          <o:OLEObject Type="Embed" ProgID="Visio.Drawing.11" ShapeID="_x0000_i1029" DrawAspect="Content" ObjectID="_1626376642" r:id="rId18"/>
        </w:object>
      </w:r>
    </w:p>
    <w:p w:rsidR="006A468D" w:rsidRDefault="00B912AB">
      <w:pPr>
        <w:spacing w:beforeLines="50" w:before="156" w:line="360" w:lineRule="auto"/>
        <w:jc w:val="center"/>
        <w:rPr>
          <w:rFonts w:ascii="宋体" w:hAnsi="宋体"/>
          <w:b/>
          <w:szCs w:val="21"/>
        </w:rPr>
      </w:pPr>
      <w:r>
        <w:rPr>
          <w:rFonts w:ascii="宋体" w:hAnsi="宋体" w:hint="eastAsia"/>
          <w:b/>
          <w:szCs w:val="21"/>
        </w:rPr>
        <w:t>地质灾害风险性评价的的系统结构图</w:t>
      </w:r>
    </w:p>
    <w:bookmarkEnd w:id="15"/>
    <w:bookmarkEnd w:id="16"/>
    <w:p w:rsidR="006A468D" w:rsidRDefault="00B912AB">
      <w:pPr>
        <w:spacing w:beforeLines="50" w:before="156" w:line="360" w:lineRule="auto"/>
        <w:ind w:firstLine="482"/>
        <w:rPr>
          <w:rStyle w:val="apple-style-span"/>
          <w:color w:val="000000"/>
          <w:sz w:val="24"/>
        </w:rPr>
      </w:pPr>
      <w:r>
        <w:rPr>
          <w:rStyle w:val="apple-style-span"/>
          <w:rFonts w:hint="eastAsia"/>
          <w:color w:val="000000"/>
          <w:sz w:val="24"/>
        </w:rPr>
        <w:t>县域地质灾害风险性评价与区划必须根据县域地质环境、社会经济、人口分布等调查数据进行县域地质灾害危险性评价与区划、根据地质灾害威胁的人口和财产及其它们承受灾害的能力和可能性进行县域地质灾害易损性评价与区划，并在此基础上利用生成的区域地质灾害危险性区划图和区域地质灾害易损性区划图进行县域地质灾害风险性区评价，最终生成县域地质灾害年风险性区划图。</w:t>
      </w:r>
    </w:p>
    <w:p w:rsidR="006A468D" w:rsidRDefault="00B912AB">
      <w:pPr>
        <w:spacing w:line="360" w:lineRule="auto"/>
        <w:ind w:firstLine="480"/>
        <w:rPr>
          <w:sz w:val="24"/>
        </w:rPr>
      </w:pPr>
      <w:r>
        <w:rPr>
          <w:rFonts w:hint="eastAsia"/>
          <w:noProof/>
          <w:szCs w:val="21"/>
        </w:rPr>
        <w:lastRenderedPageBreak/>
        <w:drawing>
          <wp:inline distT="0" distB="0" distL="114300" distR="114300">
            <wp:extent cx="5410200" cy="2941955"/>
            <wp:effectExtent l="0" t="0" r="0" b="10795"/>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19"/>
                    <a:stretch>
                      <a:fillRect/>
                    </a:stretch>
                  </pic:blipFill>
                  <pic:spPr>
                    <a:xfrm>
                      <a:off x="0" y="0"/>
                      <a:ext cx="5410200" cy="2941955"/>
                    </a:xfrm>
                    <a:prstGeom prst="rect">
                      <a:avLst/>
                    </a:prstGeom>
                    <a:noFill/>
                    <a:ln w="9525">
                      <a:noFill/>
                    </a:ln>
                  </pic:spPr>
                </pic:pic>
              </a:graphicData>
            </a:graphic>
          </wp:inline>
        </w:drawing>
      </w:r>
    </w:p>
    <w:p w:rsidR="006A468D" w:rsidRDefault="00B912AB">
      <w:pPr>
        <w:spacing w:line="360" w:lineRule="auto"/>
        <w:ind w:firstLine="480"/>
        <w:rPr>
          <w:sz w:val="24"/>
        </w:rPr>
      </w:pPr>
      <w:r>
        <w:rPr>
          <w:rFonts w:hint="eastAsia"/>
          <w:sz w:val="24"/>
        </w:rPr>
        <w:t xml:space="preserve">                       </w:t>
      </w:r>
      <w:r>
        <w:rPr>
          <w:rFonts w:hint="eastAsia"/>
          <w:sz w:val="24"/>
        </w:rPr>
        <w:t>县域年度风险区划图</w:t>
      </w:r>
    </w:p>
    <w:p w:rsidR="006A468D" w:rsidRDefault="00B912AB">
      <w:pPr>
        <w:spacing w:line="360" w:lineRule="auto"/>
        <w:ind w:firstLine="480"/>
        <w:rPr>
          <w:sz w:val="24"/>
        </w:rPr>
      </w:pPr>
      <w:r>
        <w:rPr>
          <w:rFonts w:hint="eastAsia"/>
          <w:sz w:val="24"/>
        </w:rPr>
        <w:t>6)</w:t>
      </w:r>
      <w:bookmarkStart w:id="18" w:name="_Toc301696051"/>
      <w:bookmarkStart w:id="19" w:name="_Toc303410795"/>
      <w:r>
        <w:rPr>
          <w:rFonts w:hint="eastAsia"/>
          <w:sz w:val="24"/>
        </w:rPr>
        <w:t>单体地质灾害风险评价功能</w:t>
      </w:r>
      <w:bookmarkEnd w:id="18"/>
      <w:bookmarkEnd w:id="19"/>
    </w:p>
    <w:p w:rsidR="006A468D" w:rsidRDefault="00B912AB">
      <w:pPr>
        <w:spacing w:beforeLines="50" w:before="156" w:line="360" w:lineRule="auto"/>
        <w:ind w:firstLine="482"/>
        <w:rPr>
          <w:sz w:val="24"/>
        </w:rPr>
      </w:pPr>
      <w:r>
        <w:rPr>
          <w:rFonts w:hint="eastAsia"/>
          <w:sz w:val="24"/>
        </w:rPr>
        <w:t>单体地质灾害风险性评价包括年风险性评价和动态风险性评价。单点年风险性</w:t>
      </w:r>
      <w:r>
        <w:rPr>
          <w:rFonts w:hint="eastAsia"/>
          <w:sz w:val="24"/>
        </w:rPr>
        <w:t>评价包括滑坡、崩塌、泥石流和地面塌陷等地质灾害单体进行单体年风险性评价，包括</w:t>
      </w:r>
      <w:r>
        <w:rPr>
          <w:rStyle w:val="apple-style-span"/>
          <w:rFonts w:hint="eastAsia"/>
          <w:color w:val="000000"/>
          <w:sz w:val="24"/>
        </w:rPr>
        <w:t>计算</w:t>
      </w:r>
      <w:r>
        <w:rPr>
          <w:rFonts w:hint="eastAsia"/>
          <w:sz w:val="24"/>
        </w:rPr>
        <w:t>单点灾害的年发生概率、到达承灾体的概率估算、承灾体暴露在灾害面前的时空概率估算和进行承灾体易损性评价等内容。</w:t>
      </w:r>
    </w:p>
    <w:p w:rsidR="006A468D" w:rsidRDefault="006A468D">
      <w:pPr>
        <w:spacing w:beforeLines="50" w:before="156" w:line="360" w:lineRule="auto"/>
        <w:ind w:firstLine="482"/>
        <w:rPr>
          <w:sz w:val="24"/>
        </w:rPr>
      </w:pPr>
    </w:p>
    <w:p w:rsidR="006A468D" w:rsidRDefault="00B912AB">
      <w:pPr>
        <w:spacing w:line="360" w:lineRule="auto"/>
        <w:ind w:firstLine="480"/>
        <w:jc w:val="center"/>
      </w:pPr>
      <w:r>
        <w:rPr>
          <w:noProof/>
        </w:rPr>
        <w:object w:dxaOrig="5236" w:dyaOrig="4224">
          <v:shape id="_x0000_i1030" type="#_x0000_t75" style="width:261.95pt;height:211pt" o:ole="">
            <v:imagedata r:id="rId20" o:title=""/>
          </v:shape>
          <o:OLEObject Type="Embed" ProgID="Visio.Drawing.11" ShapeID="_x0000_i1030" DrawAspect="Content" ObjectID="_1626376643" r:id="rId21"/>
        </w:object>
      </w:r>
    </w:p>
    <w:p w:rsidR="006A468D" w:rsidRDefault="00B912AB">
      <w:pPr>
        <w:spacing w:line="360" w:lineRule="auto"/>
        <w:ind w:firstLine="480"/>
        <w:jc w:val="center"/>
        <w:rPr>
          <w:b/>
          <w:szCs w:val="21"/>
        </w:rPr>
      </w:pPr>
      <w:r>
        <w:rPr>
          <w:rFonts w:hint="eastAsia"/>
          <w:b/>
          <w:szCs w:val="21"/>
        </w:rPr>
        <w:t>单体地质灾害风险评价功能</w:t>
      </w:r>
    </w:p>
    <w:p w:rsidR="006A468D" w:rsidRDefault="00B912AB">
      <w:pPr>
        <w:spacing w:beforeLines="50" w:before="156" w:line="360" w:lineRule="auto"/>
        <w:ind w:firstLine="482"/>
        <w:rPr>
          <w:rFonts w:ascii="宋体" w:hAnsi="宋体"/>
          <w:sz w:val="24"/>
        </w:rPr>
      </w:pPr>
      <w:r>
        <w:rPr>
          <w:rFonts w:ascii="宋体" w:hAnsi="宋体" w:hint="eastAsia"/>
          <w:sz w:val="24"/>
        </w:rPr>
        <w:t>7)</w:t>
      </w:r>
      <w:bookmarkStart w:id="20" w:name="_Toc301442640"/>
      <w:bookmarkStart w:id="21" w:name="_Toc301696052"/>
      <w:bookmarkStart w:id="22" w:name="_Toc303410796"/>
      <w:r>
        <w:rPr>
          <w:rFonts w:ascii="宋体" w:hAnsi="宋体" w:hint="eastAsia"/>
          <w:sz w:val="24"/>
        </w:rPr>
        <w:t>地质灾害</w:t>
      </w:r>
      <w:r>
        <w:rPr>
          <w:rFonts w:ascii="宋体" w:hAnsi="宋体"/>
          <w:sz w:val="24"/>
        </w:rPr>
        <w:t>预报预警与信息发布</w:t>
      </w:r>
      <w:r>
        <w:rPr>
          <w:rFonts w:ascii="宋体" w:hAnsi="宋体" w:hint="eastAsia"/>
          <w:sz w:val="24"/>
        </w:rPr>
        <w:t>功能</w:t>
      </w:r>
      <w:bookmarkEnd w:id="20"/>
      <w:bookmarkEnd w:id="21"/>
      <w:bookmarkEnd w:id="22"/>
    </w:p>
    <w:p w:rsidR="006A468D" w:rsidRDefault="00B912AB">
      <w:pPr>
        <w:spacing w:line="360" w:lineRule="auto"/>
        <w:ind w:firstLine="480"/>
        <w:rPr>
          <w:rFonts w:ascii="宋体" w:hAnsi="宋体"/>
          <w:sz w:val="24"/>
        </w:rPr>
      </w:pPr>
      <w:r>
        <w:rPr>
          <w:rFonts w:ascii="宋体" w:hAnsi="宋体"/>
          <w:sz w:val="24"/>
        </w:rPr>
        <w:lastRenderedPageBreak/>
        <w:t>根据气象局上传的降雨数据和监测数据，系统自动完成各单体地质灾害的危险性及风险性进行计算、能够自动对区域地质环境危险性进行区划，结合相关标准或等级进行地质灾害与地质环境的危险性预报预警及风险性预报预警，并把相关信息结合</w:t>
      </w:r>
      <w:r>
        <w:rPr>
          <w:rFonts w:ascii="宋体" w:hAnsi="宋体"/>
          <w:sz w:val="24"/>
        </w:rPr>
        <w:t>Web</w:t>
      </w:r>
      <w:r>
        <w:rPr>
          <w:rFonts w:ascii="宋体" w:hAnsi="宋体"/>
          <w:sz w:val="24"/>
        </w:rPr>
        <w:t>等途径给公众进行实时发布。</w:t>
      </w:r>
    </w:p>
    <w:p w:rsidR="006A468D" w:rsidRDefault="00B912AB">
      <w:pPr>
        <w:spacing w:line="360" w:lineRule="auto"/>
        <w:ind w:firstLineChars="200" w:firstLine="420"/>
        <w:rPr>
          <w:rFonts w:ascii="宋体" w:hAnsi="宋体"/>
          <w:sz w:val="24"/>
        </w:rPr>
      </w:pPr>
      <w:r>
        <w:rPr>
          <w:rFonts w:hint="eastAsia"/>
          <w:noProof/>
        </w:rPr>
        <w:drawing>
          <wp:inline distT="0" distB="0" distL="114300" distR="114300">
            <wp:extent cx="2567940" cy="2435225"/>
            <wp:effectExtent l="0" t="0" r="3810" b="3175"/>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pic:cNvPicPr>
                  </pic:nvPicPr>
                  <pic:blipFill>
                    <a:blip r:embed="rId22"/>
                    <a:srcRect l="23599" t="11447" r="17726" b="20158"/>
                    <a:stretch>
                      <a:fillRect/>
                    </a:stretch>
                  </pic:blipFill>
                  <pic:spPr>
                    <a:xfrm>
                      <a:off x="0" y="0"/>
                      <a:ext cx="2567940" cy="2435225"/>
                    </a:xfrm>
                    <a:prstGeom prst="rect">
                      <a:avLst/>
                    </a:prstGeom>
                    <a:noFill/>
                    <a:ln w="9525">
                      <a:noFill/>
                    </a:ln>
                  </pic:spPr>
                </pic:pic>
              </a:graphicData>
            </a:graphic>
          </wp:inline>
        </w:drawing>
      </w:r>
      <w:r>
        <w:rPr>
          <w:rFonts w:hint="eastAsia"/>
          <w:noProof/>
        </w:rPr>
        <w:drawing>
          <wp:inline distT="0" distB="0" distL="114300" distR="114300">
            <wp:extent cx="2577465" cy="2444115"/>
            <wp:effectExtent l="0" t="0" r="13335" b="1333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23"/>
                    <a:srcRect l="44278" t="15614" r="28555" b="24501"/>
                    <a:stretch>
                      <a:fillRect/>
                    </a:stretch>
                  </pic:blipFill>
                  <pic:spPr>
                    <a:xfrm>
                      <a:off x="0" y="0"/>
                      <a:ext cx="2577465" cy="2444115"/>
                    </a:xfrm>
                    <a:prstGeom prst="rect">
                      <a:avLst/>
                    </a:prstGeom>
                    <a:noFill/>
                    <a:ln w="9525">
                      <a:noFill/>
                    </a:ln>
                  </pic:spPr>
                </pic:pic>
              </a:graphicData>
            </a:graphic>
          </wp:inline>
        </w:drawing>
      </w:r>
    </w:p>
    <w:p w:rsidR="006A468D" w:rsidRDefault="00B912AB">
      <w:pPr>
        <w:spacing w:line="360" w:lineRule="auto"/>
        <w:ind w:firstLineChars="343" w:firstLine="723"/>
        <w:rPr>
          <w:rFonts w:ascii="宋体" w:hAnsi="宋体"/>
          <w:b/>
          <w:sz w:val="28"/>
          <w:szCs w:val="28"/>
        </w:rPr>
      </w:pPr>
      <w:r>
        <w:rPr>
          <w:rFonts w:hint="eastAsia"/>
          <w:b/>
          <w:szCs w:val="21"/>
        </w:rPr>
        <w:t>1</w:t>
      </w:r>
      <w:r>
        <w:rPr>
          <w:rFonts w:hint="eastAsia"/>
          <w:b/>
          <w:szCs w:val="21"/>
        </w:rPr>
        <w:t>小时实况降雨量泰森多边形图</w:t>
      </w:r>
      <w:r>
        <w:rPr>
          <w:rFonts w:ascii="宋体" w:hAnsi="宋体" w:hint="eastAsia"/>
          <w:b/>
          <w:sz w:val="28"/>
          <w:szCs w:val="28"/>
        </w:rPr>
        <w:t xml:space="preserve">     </w:t>
      </w:r>
      <w:r>
        <w:rPr>
          <w:rFonts w:hint="eastAsia"/>
          <w:b/>
          <w:szCs w:val="21"/>
        </w:rPr>
        <w:t>基于</w:t>
      </w:r>
      <w:r>
        <w:rPr>
          <w:rFonts w:hint="eastAsia"/>
          <w:b/>
          <w:szCs w:val="21"/>
        </w:rPr>
        <w:t>1</w:t>
      </w:r>
      <w:r>
        <w:rPr>
          <w:rFonts w:hint="eastAsia"/>
          <w:b/>
          <w:szCs w:val="21"/>
        </w:rPr>
        <w:t>小时实况雨量的南山滑坡预报预警文档</w:t>
      </w:r>
    </w:p>
    <w:p w:rsidR="006A468D" w:rsidRDefault="00B912AB">
      <w:pPr>
        <w:spacing w:line="360" w:lineRule="auto"/>
        <w:ind w:firstLineChars="255" w:firstLine="538"/>
        <w:outlineLvl w:val="0"/>
        <w:rPr>
          <w:rFonts w:ascii="宋体" w:hAnsi="宋体"/>
          <w:b/>
          <w:sz w:val="28"/>
          <w:szCs w:val="28"/>
        </w:rPr>
      </w:pPr>
      <w:r>
        <w:rPr>
          <w:rFonts w:hint="eastAsia"/>
          <w:b/>
          <w:noProof/>
          <w:szCs w:val="21"/>
        </w:rPr>
        <w:drawing>
          <wp:inline distT="0" distB="0" distL="114300" distR="114300">
            <wp:extent cx="5608320" cy="3298190"/>
            <wp:effectExtent l="0" t="0" r="11430" b="16510"/>
            <wp:docPr id="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pic:cNvPicPr>
                      <a:picLocks noChangeAspect="1"/>
                    </pic:cNvPicPr>
                  </pic:nvPicPr>
                  <pic:blipFill>
                    <a:blip r:embed="rId24"/>
                    <a:stretch>
                      <a:fillRect/>
                    </a:stretch>
                  </pic:blipFill>
                  <pic:spPr>
                    <a:xfrm>
                      <a:off x="0" y="0"/>
                      <a:ext cx="5608320" cy="3298190"/>
                    </a:xfrm>
                    <a:prstGeom prst="rect">
                      <a:avLst/>
                    </a:prstGeom>
                    <a:noFill/>
                    <a:ln w="9525">
                      <a:noFill/>
                    </a:ln>
                  </pic:spPr>
                </pic:pic>
              </a:graphicData>
            </a:graphic>
          </wp:inline>
        </w:drawing>
      </w:r>
    </w:p>
    <w:p w:rsidR="006A468D" w:rsidRDefault="00B912AB">
      <w:pPr>
        <w:spacing w:line="360" w:lineRule="auto"/>
        <w:ind w:firstLineChars="545" w:firstLine="1149"/>
        <w:outlineLvl w:val="0"/>
        <w:rPr>
          <w:b/>
          <w:szCs w:val="21"/>
        </w:rPr>
      </w:pPr>
      <w:r>
        <w:rPr>
          <w:rFonts w:hint="eastAsia"/>
          <w:b/>
          <w:szCs w:val="21"/>
        </w:rPr>
        <w:t>8</w:t>
      </w:r>
      <w:r>
        <w:rPr>
          <w:rFonts w:hint="eastAsia"/>
          <w:b/>
          <w:szCs w:val="21"/>
        </w:rPr>
        <w:t>月</w:t>
      </w:r>
      <w:r>
        <w:rPr>
          <w:rFonts w:hint="eastAsia"/>
          <w:b/>
          <w:szCs w:val="21"/>
        </w:rPr>
        <w:t>13</w:t>
      </w:r>
      <w:r>
        <w:rPr>
          <w:rFonts w:hint="eastAsia"/>
          <w:b/>
          <w:szCs w:val="21"/>
        </w:rPr>
        <w:t>日</w:t>
      </w:r>
      <w:r>
        <w:rPr>
          <w:rFonts w:hint="eastAsia"/>
          <w:b/>
          <w:szCs w:val="21"/>
        </w:rPr>
        <w:t>9</w:t>
      </w:r>
      <w:r>
        <w:rPr>
          <w:rFonts w:hint="eastAsia"/>
          <w:b/>
          <w:szCs w:val="21"/>
        </w:rPr>
        <w:t>时～</w:t>
      </w:r>
      <w:r>
        <w:rPr>
          <w:rFonts w:hint="eastAsia"/>
          <w:b/>
          <w:szCs w:val="21"/>
        </w:rPr>
        <w:t>8</w:t>
      </w:r>
      <w:r>
        <w:rPr>
          <w:rFonts w:hint="eastAsia"/>
          <w:b/>
          <w:szCs w:val="21"/>
        </w:rPr>
        <w:t>月</w:t>
      </w:r>
      <w:r>
        <w:rPr>
          <w:rFonts w:hint="eastAsia"/>
          <w:b/>
          <w:szCs w:val="21"/>
        </w:rPr>
        <w:t>19</w:t>
      </w:r>
      <w:r>
        <w:rPr>
          <w:rFonts w:hint="eastAsia"/>
          <w:b/>
          <w:szCs w:val="21"/>
        </w:rPr>
        <w:t>日</w:t>
      </w:r>
      <w:r>
        <w:rPr>
          <w:rFonts w:hint="eastAsia"/>
          <w:b/>
          <w:szCs w:val="21"/>
        </w:rPr>
        <w:t>9</w:t>
      </w:r>
      <w:r>
        <w:rPr>
          <w:rFonts w:hint="eastAsia"/>
          <w:b/>
          <w:szCs w:val="21"/>
        </w:rPr>
        <w:t>时实况降雨量（均为虚拟数据）</w:t>
      </w:r>
    </w:p>
    <w:p w:rsidR="006A468D" w:rsidRDefault="00B912AB">
      <w:pPr>
        <w:spacing w:line="360" w:lineRule="auto"/>
        <w:ind w:firstLineChars="1417" w:firstLine="2987"/>
        <w:outlineLvl w:val="0"/>
        <w:rPr>
          <w:rFonts w:ascii="宋体" w:hAnsi="宋体"/>
          <w:b/>
          <w:sz w:val="28"/>
          <w:szCs w:val="28"/>
        </w:rPr>
      </w:pPr>
      <w:r>
        <w:rPr>
          <w:rFonts w:hint="eastAsia"/>
          <w:b/>
          <w:szCs w:val="21"/>
        </w:rPr>
        <w:t>条件下县域动态危险性评价结果图</w:t>
      </w:r>
    </w:p>
    <w:p w:rsidR="006A468D" w:rsidRDefault="00B912AB">
      <w:pPr>
        <w:spacing w:line="360" w:lineRule="auto"/>
        <w:ind w:firstLineChars="245" w:firstLine="517"/>
        <w:outlineLvl w:val="0"/>
        <w:rPr>
          <w:rFonts w:ascii="宋体" w:hAnsi="宋体"/>
          <w:b/>
          <w:sz w:val="28"/>
          <w:szCs w:val="28"/>
        </w:rPr>
      </w:pPr>
      <w:r>
        <w:rPr>
          <w:rFonts w:hint="eastAsia"/>
          <w:b/>
          <w:noProof/>
          <w:szCs w:val="21"/>
        </w:rPr>
        <w:lastRenderedPageBreak/>
        <w:drawing>
          <wp:inline distT="0" distB="0" distL="114300" distR="114300">
            <wp:extent cx="5273040" cy="2875280"/>
            <wp:effectExtent l="0" t="0" r="3810" b="1270"/>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pic:cNvPicPr>
                      <a:picLocks noChangeAspect="1"/>
                    </pic:cNvPicPr>
                  </pic:nvPicPr>
                  <pic:blipFill>
                    <a:blip r:embed="rId25"/>
                    <a:stretch>
                      <a:fillRect/>
                    </a:stretch>
                  </pic:blipFill>
                  <pic:spPr>
                    <a:xfrm>
                      <a:off x="0" y="0"/>
                      <a:ext cx="5273040" cy="2875280"/>
                    </a:xfrm>
                    <a:prstGeom prst="rect">
                      <a:avLst/>
                    </a:prstGeom>
                    <a:noFill/>
                    <a:ln w="9525">
                      <a:noFill/>
                    </a:ln>
                  </pic:spPr>
                </pic:pic>
              </a:graphicData>
            </a:graphic>
          </wp:inline>
        </w:drawing>
      </w:r>
    </w:p>
    <w:p w:rsidR="006A468D" w:rsidRDefault="00B912AB">
      <w:pPr>
        <w:spacing w:line="360" w:lineRule="auto"/>
        <w:ind w:firstLineChars="546" w:firstLine="1151"/>
        <w:rPr>
          <w:b/>
          <w:szCs w:val="21"/>
        </w:rPr>
      </w:pPr>
      <w:r>
        <w:rPr>
          <w:rFonts w:hint="eastAsia"/>
          <w:b/>
          <w:szCs w:val="21"/>
        </w:rPr>
        <w:t>预报</w:t>
      </w:r>
      <w:r>
        <w:rPr>
          <w:rFonts w:hint="eastAsia"/>
          <w:b/>
          <w:szCs w:val="21"/>
        </w:rPr>
        <w:t>24</w:t>
      </w:r>
      <w:r>
        <w:rPr>
          <w:rFonts w:hint="eastAsia"/>
          <w:b/>
          <w:szCs w:val="21"/>
        </w:rPr>
        <w:t>小时降雨量等于</w:t>
      </w:r>
      <w:r>
        <w:rPr>
          <w:rFonts w:hint="eastAsia"/>
          <w:b/>
          <w:szCs w:val="21"/>
        </w:rPr>
        <w:t>100mm</w:t>
      </w:r>
      <w:r>
        <w:rPr>
          <w:rFonts w:hint="eastAsia"/>
          <w:b/>
          <w:szCs w:val="21"/>
        </w:rPr>
        <w:t>条件下县域动态风险性评价结果图</w:t>
      </w:r>
    </w:p>
    <w:p w:rsidR="006A468D" w:rsidRDefault="00B912AB">
      <w:pPr>
        <w:spacing w:line="360" w:lineRule="auto"/>
        <w:ind w:firstLineChars="255" w:firstLine="538"/>
        <w:rPr>
          <w:b/>
          <w:szCs w:val="21"/>
        </w:rPr>
      </w:pPr>
      <w:r>
        <w:rPr>
          <w:rFonts w:hint="eastAsia"/>
          <w:b/>
          <w:noProof/>
          <w:szCs w:val="21"/>
        </w:rPr>
        <w:drawing>
          <wp:inline distT="0" distB="0" distL="114300" distR="114300">
            <wp:extent cx="5273040" cy="2867025"/>
            <wp:effectExtent l="0" t="0" r="3810" b="9525"/>
            <wp:docPr id="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pic:cNvPicPr>
                      <a:picLocks noChangeAspect="1"/>
                    </pic:cNvPicPr>
                  </pic:nvPicPr>
                  <pic:blipFill>
                    <a:blip r:embed="rId26"/>
                    <a:stretch>
                      <a:fillRect/>
                    </a:stretch>
                  </pic:blipFill>
                  <pic:spPr>
                    <a:xfrm>
                      <a:off x="0" y="0"/>
                      <a:ext cx="5273040" cy="2867025"/>
                    </a:xfrm>
                    <a:prstGeom prst="rect">
                      <a:avLst/>
                    </a:prstGeom>
                    <a:noFill/>
                    <a:ln w="9525">
                      <a:noFill/>
                    </a:ln>
                  </pic:spPr>
                </pic:pic>
              </a:graphicData>
            </a:graphic>
          </wp:inline>
        </w:drawing>
      </w:r>
    </w:p>
    <w:p w:rsidR="006A468D" w:rsidRDefault="00B912AB">
      <w:pPr>
        <w:spacing w:line="360" w:lineRule="auto"/>
        <w:ind w:firstLineChars="546" w:firstLine="1151"/>
        <w:rPr>
          <w:b/>
          <w:szCs w:val="21"/>
        </w:rPr>
      </w:pPr>
      <w:r>
        <w:rPr>
          <w:rFonts w:hint="eastAsia"/>
          <w:b/>
          <w:szCs w:val="21"/>
        </w:rPr>
        <w:t>预报</w:t>
      </w:r>
      <w:r>
        <w:rPr>
          <w:rFonts w:hint="eastAsia"/>
          <w:b/>
          <w:szCs w:val="21"/>
        </w:rPr>
        <w:t>24</w:t>
      </w:r>
      <w:r>
        <w:rPr>
          <w:rFonts w:hint="eastAsia"/>
          <w:b/>
          <w:szCs w:val="21"/>
        </w:rPr>
        <w:t>小时降雨量等于</w:t>
      </w:r>
      <w:r>
        <w:rPr>
          <w:rFonts w:hint="eastAsia"/>
          <w:b/>
          <w:szCs w:val="21"/>
        </w:rPr>
        <w:t>200mm</w:t>
      </w:r>
      <w:r>
        <w:rPr>
          <w:rFonts w:hint="eastAsia"/>
          <w:b/>
          <w:szCs w:val="21"/>
        </w:rPr>
        <w:t>条件下县域动态风险性评价结果图</w:t>
      </w:r>
    </w:p>
    <w:p w:rsidR="006A468D" w:rsidRDefault="00B912AB">
      <w:pPr>
        <w:spacing w:line="360" w:lineRule="auto"/>
        <w:ind w:firstLineChars="350" w:firstLine="840"/>
        <w:rPr>
          <w:rFonts w:ascii="宋体" w:hAnsi="宋体"/>
          <w:sz w:val="24"/>
        </w:rPr>
      </w:pPr>
      <w:r>
        <w:rPr>
          <w:rFonts w:ascii="宋体" w:hAnsi="宋体" w:hint="eastAsia"/>
          <w:sz w:val="24"/>
        </w:rPr>
        <w:t>2011</w:t>
      </w:r>
      <w:r>
        <w:rPr>
          <w:rFonts w:ascii="宋体" w:hAnsi="宋体" w:hint="eastAsia"/>
          <w:sz w:val="24"/>
        </w:rPr>
        <w:t>年气候异常，勉（县）略（阳）宁（强）多次遭受百年不遇强降雨天气，诱发了多处地质灾害，西勘院先后</w:t>
      </w:r>
      <w:r>
        <w:rPr>
          <w:rFonts w:ascii="宋体" w:hAnsi="宋体" w:hint="eastAsia"/>
          <w:sz w:val="24"/>
        </w:rPr>
        <w:t>30</w:t>
      </w:r>
      <w:r>
        <w:rPr>
          <w:rFonts w:ascii="宋体" w:hAnsi="宋体" w:hint="eastAsia"/>
          <w:sz w:val="24"/>
        </w:rPr>
        <w:t>余次进行现场应急调查和应急排险，并对《县级地质灾害风险管理系统》进行了试运行，利用该系统对勉略宁地质灾害监测点发布预警预报</w:t>
      </w:r>
      <w:r>
        <w:rPr>
          <w:rFonts w:ascii="宋体" w:hAnsi="宋体" w:hint="eastAsia"/>
          <w:sz w:val="24"/>
        </w:rPr>
        <w:t>100</w:t>
      </w:r>
      <w:r>
        <w:rPr>
          <w:rFonts w:ascii="宋体" w:hAnsi="宋体" w:hint="eastAsia"/>
          <w:sz w:val="24"/>
        </w:rPr>
        <w:t>余次，并及时对威胁群众进行撤离，确保了所有监测点未发生人员伤亡事件。该系统目前已通过专家组验收，运行效果良好。</w:t>
      </w:r>
    </w:p>
    <w:p w:rsidR="006A468D" w:rsidRDefault="006A468D">
      <w:pPr>
        <w:spacing w:line="360" w:lineRule="auto"/>
        <w:ind w:firstLineChars="350" w:firstLine="840"/>
        <w:rPr>
          <w:rFonts w:ascii="宋体" w:hAnsi="宋体"/>
          <w:sz w:val="24"/>
        </w:rPr>
      </w:pPr>
    </w:p>
    <w:p w:rsidR="006A468D" w:rsidRDefault="006A468D">
      <w:pPr>
        <w:spacing w:line="360" w:lineRule="auto"/>
        <w:ind w:firstLineChars="350" w:firstLine="840"/>
        <w:rPr>
          <w:rFonts w:ascii="宋体" w:hAnsi="宋体"/>
          <w:sz w:val="24"/>
        </w:rPr>
      </w:pPr>
    </w:p>
    <w:p w:rsidR="006A468D" w:rsidRDefault="006A468D">
      <w:pPr>
        <w:spacing w:line="360" w:lineRule="auto"/>
        <w:ind w:firstLineChars="350" w:firstLine="840"/>
        <w:rPr>
          <w:rFonts w:ascii="宋体" w:hAnsi="宋体"/>
          <w:sz w:val="24"/>
        </w:rPr>
      </w:pPr>
    </w:p>
    <w:p w:rsidR="006A468D" w:rsidRDefault="00B912AB">
      <w:pPr>
        <w:jc w:val="center"/>
        <w:rPr>
          <w:rFonts w:ascii="黑体" w:eastAsia="黑体"/>
          <w:sz w:val="36"/>
          <w:szCs w:val="36"/>
        </w:rPr>
      </w:pPr>
      <w:r>
        <w:rPr>
          <w:rFonts w:ascii="黑体" w:eastAsia="黑体" w:hint="eastAsia"/>
          <w:sz w:val="36"/>
          <w:szCs w:val="36"/>
        </w:rPr>
        <w:lastRenderedPageBreak/>
        <w:t>黄土高原生态保护修复关键技术</w:t>
      </w:r>
      <w:r>
        <w:rPr>
          <w:rFonts w:ascii="黑体" w:eastAsia="黑体" w:hint="eastAsia"/>
          <w:sz w:val="36"/>
          <w:szCs w:val="36"/>
        </w:rPr>
        <w:t>研究</w:t>
      </w:r>
      <w:r>
        <w:rPr>
          <w:rFonts w:ascii="黑体" w:eastAsia="黑体" w:hint="eastAsia"/>
          <w:sz w:val="36"/>
          <w:szCs w:val="36"/>
        </w:rPr>
        <w:t>团队</w:t>
      </w:r>
    </w:p>
    <w:p w:rsidR="006A468D" w:rsidRDefault="00B912AB">
      <w:pPr>
        <w:jc w:val="center"/>
        <w:rPr>
          <w:rFonts w:ascii="黑体" w:eastAsia="黑体"/>
          <w:sz w:val="28"/>
          <w:szCs w:val="28"/>
        </w:rPr>
      </w:pPr>
      <w:r>
        <w:rPr>
          <w:rFonts w:ascii="黑体" w:eastAsia="黑体" w:hint="eastAsia"/>
          <w:sz w:val="28"/>
          <w:szCs w:val="28"/>
        </w:rPr>
        <w:t>简</w:t>
      </w:r>
      <w:r>
        <w:rPr>
          <w:rFonts w:ascii="黑体" w:eastAsia="黑体" w:hint="eastAsia"/>
          <w:sz w:val="28"/>
          <w:szCs w:val="28"/>
        </w:rPr>
        <w:t xml:space="preserve">   </w:t>
      </w:r>
      <w:r>
        <w:rPr>
          <w:rFonts w:ascii="黑体" w:eastAsia="黑体" w:hint="eastAsia"/>
          <w:sz w:val="28"/>
          <w:szCs w:val="28"/>
        </w:rPr>
        <w:t>介</w:t>
      </w:r>
    </w:p>
    <w:p w:rsidR="006A468D" w:rsidRDefault="00B912AB">
      <w:pPr>
        <w:spacing w:line="360" w:lineRule="auto"/>
        <w:jc w:val="left"/>
        <w:rPr>
          <w:rFonts w:ascii="宋体" w:hAnsi="宋体"/>
          <w:sz w:val="24"/>
        </w:rPr>
      </w:pPr>
      <w:r>
        <w:rPr>
          <w:rFonts w:ascii="宋体" w:hAnsi="宋体" w:hint="eastAsia"/>
          <w:sz w:val="28"/>
          <w:szCs w:val="28"/>
        </w:rPr>
        <w:t xml:space="preserve">  </w:t>
      </w:r>
      <w:r>
        <w:rPr>
          <w:rFonts w:ascii="宋体" w:hAnsi="宋体" w:hint="eastAsia"/>
          <w:sz w:val="24"/>
        </w:rPr>
        <w:t xml:space="preserve"> </w:t>
      </w:r>
      <w:r>
        <w:rPr>
          <w:rFonts w:ascii="宋体" w:hAnsi="宋体" w:hint="eastAsia"/>
          <w:sz w:val="24"/>
        </w:rPr>
        <w:t>我公司联合</w:t>
      </w:r>
      <w:r>
        <w:rPr>
          <w:rFonts w:ascii="宋体" w:hAnsi="宋体" w:hint="eastAsia"/>
          <w:sz w:val="24"/>
        </w:rPr>
        <w:t>中国有色金属工业西安勘察设计研究院</w:t>
      </w:r>
      <w:r>
        <w:rPr>
          <w:rFonts w:ascii="宋体" w:hAnsi="宋体" w:hint="eastAsia"/>
          <w:sz w:val="24"/>
        </w:rPr>
        <w:t>、</w:t>
      </w:r>
      <w:r>
        <w:rPr>
          <w:rFonts w:ascii="宋体" w:hAnsi="宋体" w:hint="eastAsia"/>
          <w:sz w:val="24"/>
        </w:rPr>
        <w:t>西安理工大学、</w:t>
      </w:r>
      <w:r>
        <w:rPr>
          <w:rFonts w:ascii="宋体" w:hAnsi="宋体" w:hint="eastAsia"/>
          <w:sz w:val="24"/>
        </w:rPr>
        <w:t>西北农林科技大学</w:t>
      </w:r>
      <w:r>
        <w:rPr>
          <w:rFonts w:ascii="宋体" w:hAnsi="宋体" w:hint="eastAsia"/>
          <w:sz w:val="24"/>
        </w:rPr>
        <w:t>、西安科技大学、西安建筑科技大学、长安大学、西安工业大学的多名教授、专家</w:t>
      </w:r>
      <w:r>
        <w:rPr>
          <w:rFonts w:ascii="宋体" w:hAnsi="宋体" w:hint="eastAsia"/>
          <w:sz w:val="24"/>
        </w:rPr>
        <w:t>，</w:t>
      </w:r>
      <w:r>
        <w:rPr>
          <w:rFonts w:ascii="宋体" w:hAnsi="宋体" w:hint="eastAsia"/>
          <w:sz w:val="24"/>
        </w:rPr>
        <w:t>成立了“</w:t>
      </w:r>
      <w:r>
        <w:rPr>
          <w:rFonts w:ascii="宋体" w:hAnsi="宋体" w:hint="eastAsia"/>
          <w:sz w:val="24"/>
        </w:rPr>
        <w:t>黄土高原生态保护修复关键技术研究</w:t>
      </w:r>
      <w:r>
        <w:rPr>
          <w:rFonts w:ascii="宋体" w:hAnsi="宋体" w:hint="eastAsia"/>
          <w:sz w:val="24"/>
        </w:rPr>
        <w:t>团队”，致力于</w:t>
      </w:r>
      <w:r>
        <w:rPr>
          <w:rFonts w:ascii="宋体" w:hAnsi="宋体" w:hint="eastAsia"/>
          <w:sz w:val="24"/>
        </w:rPr>
        <w:t>下列领域的研究</w:t>
      </w:r>
      <w:r>
        <w:rPr>
          <w:rFonts w:ascii="宋体" w:hAnsi="宋体" w:hint="eastAsia"/>
          <w:sz w:val="24"/>
        </w:rPr>
        <w:t>。</w:t>
      </w:r>
    </w:p>
    <w:p w:rsidR="006A468D" w:rsidRDefault="00B912AB">
      <w:pPr>
        <w:pStyle w:val="a7"/>
        <w:spacing w:line="560" w:lineRule="exact"/>
        <w:ind w:firstLineChars="200" w:firstLine="480"/>
        <w:rPr>
          <w:rFonts w:hint="default"/>
          <w:kern w:val="2"/>
        </w:rPr>
      </w:pPr>
      <w:r>
        <w:rPr>
          <w:kern w:val="2"/>
        </w:rPr>
        <w:t>1.</w:t>
      </w:r>
      <w:r>
        <w:rPr>
          <w:kern w:val="2"/>
        </w:rPr>
        <w:t>陕西黄土高原区废弃矿山</w:t>
      </w:r>
      <w:r>
        <w:rPr>
          <w:kern w:val="2"/>
        </w:rPr>
        <w:t>生态</w:t>
      </w:r>
      <w:r>
        <w:rPr>
          <w:kern w:val="2"/>
        </w:rPr>
        <w:t>修复</w:t>
      </w:r>
      <w:r>
        <w:rPr>
          <w:kern w:val="2"/>
        </w:rPr>
        <w:t>技术</w:t>
      </w:r>
    </w:p>
    <w:p w:rsidR="006A468D" w:rsidRDefault="00B912AB">
      <w:pPr>
        <w:pStyle w:val="a7"/>
        <w:spacing w:line="560" w:lineRule="exact"/>
        <w:ind w:firstLineChars="200" w:firstLine="480"/>
        <w:rPr>
          <w:rFonts w:hint="default"/>
          <w:kern w:val="2"/>
        </w:rPr>
      </w:pPr>
      <w:r>
        <w:rPr>
          <w:kern w:val="2"/>
        </w:rPr>
        <w:t>研究内容：研究</w:t>
      </w:r>
      <w:r>
        <w:rPr>
          <w:kern w:val="2"/>
        </w:rPr>
        <w:t>矿产</w:t>
      </w:r>
      <w:r>
        <w:rPr>
          <w:kern w:val="2"/>
        </w:rPr>
        <w:t>资源开发对区域生态安全的影响途径和机制，研发矿区水土资源保护和利用、采矿迹地</w:t>
      </w:r>
      <w:r>
        <w:rPr>
          <w:kern w:val="2"/>
        </w:rPr>
        <w:t>水土流失</w:t>
      </w:r>
      <w:r>
        <w:rPr>
          <w:kern w:val="2"/>
        </w:rPr>
        <w:t>控制、植被重建等生态恢复技术和生态安全保障技术，形成采矿工程与生态修复一体化技术体系并进行一定规模的示范。</w:t>
      </w:r>
    </w:p>
    <w:p w:rsidR="006A468D" w:rsidRDefault="00B912AB">
      <w:pPr>
        <w:pStyle w:val="a7"/>
        <w:spacing w:line="560" w:lineRule="exact"/>
        <w:ind w:firstLineChars="200" w:firstLine="480"/>
        <w:rPr>
          <w:rFonts w:hint="default"/>
          <w:kern w:val="2"/>
        </w:rPr>
      </w:pPr>
      <w:r>
        <w:rPr>
          <w:kern w:val="2"/>
        </w:rPr>
        <w:t>2.</w:t>
      </w:r>
      <w:r>
        <w:rPr>
          <w:kern w:val="2"/>
        </w:rPr>
        <w:t>黄土高原人工生态系统结构改善和功能提升技术</w:t>
      </w:r>
    </w:p>
    <w:p w:rsidR="006A468D" w:rsidRDefault="00B912AB">
      <w:pPr>
        <w:pStyle w:val="a7"/>
        <w:spacing w:line="560" w:lineRule="exact"/>
        <w:ind w:firstLineChars="200" w:firstLine="480"/>
        <w:rPr>
          <w:rFonts w:hint="default"/>
          <w:kern w:val="2"/>
        </w:rPr>
      </w:pPr>
      <w:r>
        <w:rPr>
          <w:kern w:val="2"/>
        </w:rPr>
        <w:t>研究内容：研发和集成现有区域植被的结构调整、稳定性维持及功能提升技术、水土资源与生态系统高效耦合技术、坡面和流域尺度生态系统综合配置技术，建立区域性植被（含经济林）</w:t>
      </w:r>
      <w:r>
        <w:rPr>
          <w:rFonts w:hint="default"/>
          <w:kern w:val="2"/>
        </w:rPr>
        <w:t>-</w:t>
      </w:r>
      <w:r>
        <w:rPr>
          <w:rFonts w:hint="default"/>
          <w:kern w:val="2"/>
        </w:rPr>
        <w:t>土壤生态系统服务功能评价体系与提升技术标准，开展试验示范</w:t>
      </w:r>
      <w:r>
        <w:rPr>
          <w:kern w:val="2"/>
        </w:rPr>
        <w:t>，</w:t>
      </w:r>
      <w:r>
        <w:rPr>
          <w:rFonts w:hint="default"/>
          <w:kern w:val="2"/>
        </w:rPr>
        <w:t>形成区域人工生态系统结构调整和功能提升技术体系，满足区域人工生态系统的稳定性维持及可持续发展。</w:t>
      </w:r>
    </w:p>
    <w:p w:rsidR="006A468D" w:rsidRDefault="00B912AB">
      <w:pPr>
        <w:pStyle w:val="a7"/>
        <w:spacing w:line="560" w:lineRule="exact"/>
        <w:ind w:firstLineChars="200" w:firstLine="480"/>
        <w:rPr>
          <w:rFonts w:hint="default"/>
          <w:kern w:val="2"/>
        </w:rPr>
      </w:pPr>
      <w:r>
        <w:rPr>
          <w:kern w:val="2"/>
        </w:rPr>
        <w:t>3.</w:t>
      </w:r>
      <w:r>
        <w:rPr>
          <w:kern w:val="2"/>
        </w:rPr>
        <w:t>陕西</w:t>
      </w:r>
      <w:r>
        <w:rPr>
          <w:kern w:val="2"/>
        </w:rPr>
        <w:t>黄土</w:t>
      </w:r>
      <w:r>
        <w:rPr>
          <w:kern w:val="2"/>
        </w:rPr>
        <w:t>高原</w:t>
      </w:r>
      <w:r>
        <w:rPr>
          <w:kern w:val="2"/>
        </w:rPr>
        <w:t>生态</w:t>
      </w:r>
      <w:r>
        <w:rPr>
          <w:kern w:val="2"/>
        </w:rPr>
        <w:t>保护修复</w:t>
      </w:r>
      <w:r>
        <w:rPr>
          <w:kern w:val="2"/>
        </w:rPr>
        <w:t>技术与示</w:t>
      </w:r>
      <w:r>
        <w:rPr>
          <w:kern w:val="2"/>
        </w:rPr>
        <w:t>范</w:t>
      </w:r>
    </w:p>
    <w:p w:rsidR="006A468D" w:rsidRDefault="00B912AB">
      <w:pPr>
        <w:pStyle w:val="a7"/>
        <w:spacing w:line="560" w:lineRule="exact"/>
        <w:ind w:firstLineChars="200" w:firstLine="480"/>
        <w:rPr>
          <w:rFonts w:hint="default"/>
          <w:kern w:val="2"/>
        </w:rPr>
      </w:pPr>
      <w:r>
        <w:rPr>
          <w:rFonts w:hint="default"/>
          <w:kern w:val="2"/>
        </w:rPr>
        <w:t>研究内容：</w:t>
      </w:r>
      <w:bookmarkStart w:id="23" w:name="OLE_LINK126"/>
      <w:bookmarkStart w:id="24" w:name="OLE_LINK125"/>
      <w:bookmarkStart w:id="25" w:name="OLE_LINK124"/>
      <w:bookmarkStart w:id="26" w:name="OLE_LINK123"/>
      <w:bookmarkEnd w:id="23"/>
      <w:bookmarkEnd w:id="24"/>
      <w:bookmarkEnd w:id="25"/>
      <w:r>
        <w:rPr>
          <w:kern w:val="2"/>
        </w:rPr>
        <w:t>进行陕西</w:t>
      </w:r>
      <w:r>
        <w:rPr>
          <w:rFonts w:hint="default"/>
          <w:kern w:val="2"/>
        </w:rPr>
        <w:t>黄土高原区域生态系统演变规律研究，重点开展</w:t>
      </w:r>
      <w:r>
        <w:rPr>
          <w:kern w:val="2"/>
        </w:rPr>
        <w:t>陕西</w:t>
      </w:r>
      <w:r>
        <w:rPr>
          <w:rFonts w:hint="default"/>
          <w:kern w:val="2"/>
        </w:rPr>
        <w:t>黄土高原区域生态系统演变规律和驱动机制、多因子耦合作用下生态修复可持续性维持机制等研究，研究区域水土资源和生态系统空间分布格局、生态系统承载力、利用方向及调控途径。针对黄土高原水土流失严重的问题，研发构建水土流失综合防治技术及生态衍生产业技术，集成区域水土流失综合治理技术体系和生态产业模式</w:t>
      </w:r>
      <w:r>
        <w:rPr>
          <w:kern w:val="2"/>
        </w:rPr>
        <w:t>，</w:t>
      </w:r>
      <w:r>
        <w:rPr>
          <w:rFonts w:hint="default"/>
          <w:kern w:val="2"/>
        </w:rPr>
        <w:lastRenderedPageBreak/>
        <w:t>发展生态治理与生物</w:t>
      </w:r>
      <w:r>
        <w:rPr>
          <w:kern w:val="2"/>
        </w:rPr>
        <w:t>农业</w:t>
      </w:r>
      <w:r>
        <w:rPr>
          <w:rFonts w:hint="default"/>
          <w:kern w:val="2"/>
        </w:rPr>
        <w:t>、生态旅游等产业协同技术，培育和发展生态产业，构建生态治理、生态产业、生态富民相结合的产业化生态治理模式</w:t>
      </w:r>
      <w:r>
        <w:rPr>
          <w:kern w:val="2"/>
        </w:rPr>
        <w:t>。</w:t>
      </w:r>
    </w:p>
    <w:p w:rsidR="006A468D" w:rsidRDefault="00B912AB">
      <w:pPr>
        <w:pStyle w:val="a7"/>
        <w:spacing w:line="560" w:lineRule="exact"/>
        <w:ind w:firstLineChars="200" w:firstLine="480"/>
        <w:rPr>
          <w:rFonts w:hint="default"/>
          <w:kern w:val="2"/>
        </w:rPr>
      </w:pPr>
      <w:r>
        <w:rPr>
          <w:kern w:val="2"/>
        </w:rPr>
        <w:t>4.</w:t>
      </w:r>
      <w:r>
        <w:rPr>
          <w:kern w:val="2"/>
        </w:rPr>
        <w:t>陕西省</w:t>
      </w:r>
      <w:r>
        <w:rPr>
          <w:kern w:val="2"/>
        </w:rPr>
        <w:t>黄土</w:t>
      </w:r>
      <w:r>
        <w:rPr>
          <w:kern w:val="2"/>
        </w:rPr>
        <w:t>高原区城市</w:t>
      </w:r>
      <w:r>
        <w:rPr>
          <w:kern w:val="2"/>
        </w:rPr>
        <w:t>生态</w:t>
      </w:r>
      <w:r>
        <w:rPr>
          <w:kern w:val="2"/>
        </w:rPr>
        <w:t>保护修复</w:t>
      </w:r>
      <w:r>
        <w:rPr>
          <w:kern w:val="2"/>
        </w:rPr>
        <w:t>技术与示范</w:t>
      </w:r>
    </w:p>
    <w:p w:rsidR="006A468D" w:rsidRDefault="00B912AB">
      <w:pPr>
        <w:pStyle w:val="a7"/>
        <w:spacing w:line="560" w:lineRule="exact"/>
        <w:ind w:firstLineChars="200" w:firstLine="480"/>
        <w:rPr>
          <w:rFonts w:hint="default"/>
          <w:kern w:val="2"/>
        </w:rPr>
      </w:pPr>
      <w:r>
        <w:rPr>
          <w:kern w:val="2"/>
        </w:rPr>
        <w:t xml:space="preserve"> </w:t>
      </w:r>
      <w:r>
        <w:rPr>
          <w:kern w:val="2"/>
        </w:rPr>
        <w:t>研究内容：根据黄土高原水资源短缺、水污染严重、水生态系统破坏严重和城市扩张开挖形成高陡边坡加剧水土流失和植被破坏等现状，研究黄土高原区</w:t>
      </w:r>
      <w:r>
        <w:rPr>
          <w:rFonts w:hint="default"/>
          <w:kern w:val="2"/>
        </w:rPr>
        <w:t>城市化地区生态演变规律，阐明城市化对区域生态环境的影响机理及其效应，探讨区域生态对城市发展的生态支撑作用，揭示城市化与区域生态的耦合机制，研发</w:t>
      </w:r>
      <w:r>
        <w:rPr>
          <w:kern w:val="2"/>
        </w:rPr>
        <w:t>城市生态保护修复技术与示范，为城镇可持续发展和让更多人分享生态福祉奠定基础。</w:t>
      </w:r>
    </w:p>
    <w:p w:rsidR="006A468D" w:rsidRDefault="00B912AB">
      <w:pPr>
        <w:pStyle w:val="a7"/>
        <w:spacing w:line="560" w:lineRule="exact"/>
        <w:ind w:firstLineChars="200" w:firstLine="480"/>
        <w:rPr>
          <w:rFonts w:hint="default"/>
          <w:kern w:val="2"/>
        </w:rPr>
      </w:pPr>
      <w:r>
        <w:rPr>
          <w:kern w:val="2"/>
        </w:rPr>
        <w:t>5</w:t>
      </w:r>
      <w:r>
        <w:rPr>
          <w:kern w:val="2"/>
        </w:rPr>
        <w:t>.</w:t>
      </w:r>
      <w:r>
        <w:rPr>
          <w:kern w:val="2"/>
        </w:rPr>
        <w:t>陕西黄土高原生态质量监测、安全评估与预警技术</w:t>
      </w:r>
    </w:p>
    <w:p w:rsidR="006A468D" w:rsidRDefault="00B912AB">
      <w:pPr>
        <w:pStyle w:val="a7"/>
        <w:spacing w:line="560" w:lineRule="exact"/>
        <w:ind w:firstLineChars="200" w:firstLine="480"/>
        <w:rPr>
          <w:rFonts w:hint="default"/>
          <w:kern w:val="2"/>
        </w:rPr>
      </w:pPr>
      <w:r>
        <w:rPr>
          <w:kern w:val="2"/>
        </w:rPr>
        <w:t>研究内容：研究生物多样性、生态要素及生态功能等生态系统综合监测方法，制定</w:t>
      </w:r>
      <w:r>
        <w:rPr>
          <w:kern w:val="2"/>
        </w:rPr>
        <w:t>生态质量长期生态监测的技术体系及生态系统观测研究网络的观测技术标准，研发生态要素监测的信息采集</w:t>
      </w:r>
      <w:r>
        <w:rPr>
          <w:rFonts w:hint="default"/>
          <w:kern w:val="2"/>
        </w:rPr>
        <w:t>-</w:t>
      </w:r>
      <w:r>
        <w:rPr>
          <w:rFonts w:hint="default"/>
          <w:kern w:val="2"/>
        </w:rPr>
        <w:t>实时传输</w:t>
      </w:r>
      <w:r>
        <w:rPr>
          <w:rFonts w:hint="default"/>
          <w:kern w:val="2"/>
        </w:rPr>
        <w:t>-</w:t>
      </w:r>
      <w:r>
        <w:rPr>
          <w:rFonts w:hint="default"/>
          <w:kern w:val="2"/>
        </w:rPr>
        <w:t>远程监控的物联网技术。</w:t>
      </w:r>
      <w:r>
        <w:rPr>
          <w:kern w:val="2"/>
        </w:rPr>
        <w:t>建立生态承载力评价指标体系和评估模型方法，开展典型生态承载力与产业一致性评价技术研究；探讨生态安全评估指标体系与方法，研发生态安全阈值界定和承载力预测预警系统关键技术，</w:t>
      </w:r>
      <w:r>
        <w:rPr>
          <w:rFonts w:hint="default"/>
          <w:kern w:val="2"/>
        </w:rPr>
        <w:t>构建生态监测与管理系统</w:t>
      </w:r>
      <w:r>
        <w:rPr>
          <w:kern w:val="2"/>
        </w:rPr>
        <w:t>。</w:t>
      </w:r>
    </w:p>
    <w:p w:rsidR="006A468D" w:rsidRDefault="006A468D">
      <w:pPr>
        <w:pStyle w:val="a7"/>
        <w:spacing w:line="560" w:lineRule="exact"/>
        <w:ind w:firstLineChars="200" w:firstLine="480"/>
        <w:rPr>
          <w:rFonts w:hint="default"/>
          <w:kern w:val="2"/>
        </w:rPr>
      </w:pPr>
    </w:p>
    <w:p w:rsidR="006A468D" w:rsidRDefault="006A468D">
      <w:pPr>
        <w:pStyle w:val="a7"/>
        <w:spacing w:line="560" w:lineRule="exact"/>
        <w:ind w:firstLineChars="200" w:firstLine="480"/>
        <w:rPr>
          <w:rFonts w:hint="default"/>
          <w:kern w:val="2"/>
        </w:rPr>
      </w:pPr>
    </w:p>
    <w:p w:rsidR="006A468D" w:rsidRDefault="006A468D">
      <w:pPr>
        <w:pStyle w:val="a7"/>
        <w:spacing w:line="560" w:lineRule="exact"/>
        <w:ind w:firstLineChars="200" w:firstLine="480"/>
        <w:rPr>
          <w:rFonts w:hint="default"/>
          <w:kern w:val="2"/>
        </w:rPr>
      </w:pPr>
    </w:p>
    <w:p w:rsidR="006A468D" w:rsidRDefault="006A468D">
      <w:pPr>
        <w:pStyle w:val="a7"/>
        <w:spacing w:line="560" w:lineRule="exact"/>
        <w:ind w:firstLineChars="200" w:firstLine="480"/>
        <w:rPr>
          <w:rFonts w:hint="default"/>
          <w:kern w:val="2"/>
        </w:rPr>
      </w:pPr>
    </w:p>
    <w:p w:rsidR="006A468D" w:rsidRDefault="006A468D">
      <w:pPr>
        <w:pStyle w:val="a7"/>
        <w:spacing w:line="560" w:lineRule="exact"/>
        <w:ind w:firstLineChars="200" w:firstLine="480"/>
        <w:rPr>
          <w:rFonts w:hint="default"/>
          <w:kern w:val="2"/>
        </w:rPr>
      </w:pPr>
    </w:p>
    <w:bookmarkEnd w:id="26"/>
    <w:p w:rsidR="006A468D" w:rsidRDefault="006A468D">
      <w:pPr>
        <w:pStyle w:val="a7"/>
        <w:shd w:val="clear" w:color="auto" w:fill="E2E2E2"/>
        <w:spacing w:before="0" w:beforeAutospacing="0" w:after="75" w:afterAutospacing="0" w:line="560" w:lineRule="atLeast"/>
        <w:ind w:firstLine="640"/>
        <w:rPr>
          <w:rFonts w:ascii="仿宋_GB2312" w:eastAsia="仿宋_GB2312" w:hAnsi="微软雅黑" w:cs="仿宋_GB2312" w:hint="default"/>
          <w:color w:val="494949"/>
          <w:sz w:val="32"/>
          <w:szCs w:val="32"/>
          <w:shd w:val="clear" w:color="auto" w:fill="E2E2E2"/>
        </w:rPr>
      </w:pPr>
    </w:p>
    <w:sectPr w:rsidR="006A468D">
      <w:footerReference w:type="even" r:id="rId27"/>
      <w:footerReference w:type="default" r:id="rId28"/>
      <w:pgSz w:w="11906" w:h="16838"/>
      <w:pgMar w:top="1418" w:right="1644" w:bottom="1418" w:left="164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B912AB">
      <w:r>
        <w:separator/>
      </w:r>
    </w:p>
  </w:endnote>
  <w:endnote w:type="continuationSeparator" w:id="0">
    <w:p w:rsidR="00000000" w:rsidRDefault="00B91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Arial"/>
    <w:panose1 w:val="02020603050405020304"/>
    <w:charset w:val="00"/>
    <w:family w:val="roman"/>
    <w:pitch w:val="variable"/>
    <w:sig w:usb0="00000000" w:usb1="80000000" w:usb2="00000008" w:usb3="00000000" w:csb0="000001FF" w:csb1="00000000"/>
  </w:font>
  <w:font w:name="宋体">
    <w:altName w:val="微软雅黑"/>
    <w:panose1 w:val="02010600030101010101"/>
    <w:charset w:val="86"/>
    <w:family w:val="auto"/>
    <w:pitch w:val="default"/>
    <w:sig w:usb0="00000003" w:usb1="288F0000" w:usb2="00000016" w:usb3="00000000" w:csb0="00040001" w:csb1="00000000"/>
  </w:font>
  <w:font w:name="仿宋_GB2312">
    <w:altName w:val="微软雅黑"/>
    <w:charset w:val="86"/>
    <w:family w:val="modern"/>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黑体">
    <w:altName w:val="微软雅黑"/>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Cambria">
    <w:panose1 w:val="02040503050406030204"/>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68D" w:rsidRDefault="00B912AB">
    <w:pPr>
      <w:pStyle w:val="a3"/>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6A468D" w:rsidRDefault="006A468D">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68D" w:rsidRDefault="00B912AB">
    <w:pPr>
      <w:pStyle w:val="a3"/>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Pr>
        <w:rStyle w:val="a9"/>
      </w:rPr>
      <w:t>6</w:t>
    </w:r>
    <w:r>
      <w:rPr>
        <w:rStyle w:val="a9"/>
      </w:rPr>
      <w:fldChar w:fldCharType="end"/>
    </w:r>
  </w:p>
  <w:p w:rsidR="006A468D" w:rsidRDefault="006A468D">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B912AB">
      <w:r>
        <w:separator/>
      </w:r>
    </w:p>
  </w:footnote>
  <w:footnote w:type="continuationSeparator" w:id="0">
    <w:p w:rsidR="00000000" w:rsidRDefault="00B912A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4"/>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101B"/>
    <w:rsid w:val="002F101B"/>
    <w:rsid w:val="00304D3B"/>
    <w:rsid w:val="00623AA8"/>
    <w:rsid w:val="006A468D"/>
    <w:rsid w:val="007A57F0"/>
    <w:rsid w:val="00940633"/>
    <w:rsid w:val="00B912AB"/>
    <w:rsid w:val="02474D61"/>
    <w:rsid w:val="0C150755"/>
    <w:rsid w:val="0CC33A96"/>
    <w:rsid w:val="129578D8"/>
    <w:rsid w:val="19B265D3"/>
    <w:rsid w:val="1A1E3B8D"/>
    <w:rsid w:val="1B8F5558"/>
    <w:rsid w:val="1EF928DA"/>
    <w:rsid w:val="21F11EA5"/>
    <w:rsid w:val="2429730C"/>
    <w:rsid w:val="24B86BAC"/>
    <w:rsid w:val="281A7B4C"/>
    <w:rsid w:val="2AEF3E35"/>
    <w:rsid w:val="2C520CAB"/>
    <w:rsid w:val="2D994FD9"/>
    <w:rsid w:val="2F03607C"/>
    <w:rsid w:val="300D7A29"/>
    <w:rsid w:val="3B596F2F"/>
    <w:rsid w:val="404B59C0"/>
    <w:rsid w:val="40B440EA"/>
    <w:rsid w:val="419C72C2"/>
    <w:rsid w:val="43CE54E9"/>
    <w:rsid w:val="4A7371D8"/>
    <w:rsid w:val="4B2D03D0"/>
    <w:rsid w:val="566B33CA"/>
    <w:rsid w:val="57CC7CBA"/>
    <w:rsid w:val="611A0039"/>
    <w:rsid w:val="613219CD"/>
    <w:rsid w:val="62A6612B"/>
    <w:rsid w:val="63427A07"/>
    <w:rsid w:val="68722D01"/>
    <w:rsid w:val="6B286AF0"/>
    <w:rsid w:val="6E0213B2"/>
    <w:rsid w:val="6F371104"/>
    <w:rsid w:val="71AE19A0"/>
    <w:rsid w:val="781E3469"/>
    <w:rsid w:val="78545B12"/>
    <w:rsid w:val="7C7B4794"/>
    <w:rsid w:val="7CA27A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9050298D-3A82-1B4F-B835-7347455AF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2">
    <w:name w:val="heading 2"/>
    <w:basedOn w:val="a"/>
    <w:next w:val="a"/>
    <w:uiPriority w:val="9"/>
    <w:semiHidden/>
    <w:unhideWhenUsed/>
    <w:qFormat/>
    <w:pPr>
      <w:spacing w:beforeAutospacing="1" w:afterAutospacing="1"/>
      <w:jc w:val="left"/>
      <w:outlineLvl w:val="1"/>
    </w:pPr>
    <w:rPr>
      <w:rFonts w:ascii="宋体" w:hAnsi="宋体" w:hint="eastAsia"/>
      <w:b/>
      <w:kern w:val="0"/>
      <w:sz w:val="36"/>
      <w:szCs w:val="36"/>
    </w:rPr>
  </w:style>
  <w:style w:type="paragraph" w:styleId="3">
    <w:name w:val="heading 3"/>
    <w:basedOn w:val="a"/>
    <w:next w:val="a"/>
    <w:uiPriority w:val="9"/>
    <w:semiHidden/>
    <w:unhideWhenUsed/>
    <w:qFormat/>
    <w:pPr>
      <w:spacing w:beforeAutospacing="1" w:afterAutospacing="1"/>
      <w:jc w:val="left"/>
      <w:outlineLvl w:val="2"/>
    </w:pPr>
    <w:rPr>
      <w:rFonts w:ascii="宋体" w:hAnsi="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qFormat/>
    <w:pPr>
      <w:widowControl/>
      <w:spacing w:before="100" w:beforeAutospacing="1" w:after="100" w:afterAutospacing="1"/>
      <w:jc w:val="left"/>
    </w:pPr>
    <w:rPr>
      <w:rFonts w:ascii="宋体" w:hAnsi="宋体" w:hint="eastAsia"/>
      <w:kern w:val="0"/>
      <w:sz w:val="24"/>
    </w:rPr>
  </w:style>
  <w:style w:type="character" w:styleId="a8">
    <w:name w:val="Strong"/>
    <w:basedOn w:val="a0"/>
    <w:uiPriority w:val="22"/>
    <w:qFormat/>
    <w:rPr>
      <w:b/>
    </w:rPr>
  </w:style>
  <w:style w:type="character" w:styleId="a9">
    <w:name w:val="page number"/>
    <w:basedOn w:val="a0"/>
    <w:qFormat/>
  </w:style>
  <w:style w:type="character" w:styleId="aa">
    <w:name w:val="FollowedHyperlink"/>
    <w:basedOn w:val="a0"/>
    <w:uiPriority w:val="99"/>
    <w:semiHidden/>
    <w:unhideWhenUsed/>
    <w:qFormat/>
    <w:rPr>
      <w:color w:val="6C9D30"/>
      <w:u w:val="none"/>
    </w:rPr>
  </w:style>
  <w:style w:type="character" w:styleId="ab">
    <w:name w:val="Hyperlink"/>
    <w:qFormat/>
    <w:rPr>
      <w:color w:val="333333"/>
      <w:u w:val="none"/>
    </w:rPr>
  </w:style>
  <w:style w:type="character" w:customStyle="1" w:styleId="a4">
    <w:name w:val="页脚 字符"/>
    <w:basedOn w:val="a0"/>
    <w:link w:val="a3"/>
    <w:qFormat/>
    <w:rPr>
      <w:rFonts w:ascii="Times New Roman" w:eastAsia="宋体" w:hAnsi="Times New Roman" w:cs="Times New Roman"/>
      <w:sz w:val="18"/>
      <w:szCs w:val="18"/>
    </w:rPr>
  </w:style>
  <w:style w:type="character" w:customStyle="1" w:styleId="a6">
    <w:name w:val="页眉 字符"/>
    <w:basedOn w:val="a0"/>
    <w:link w:val="a5"/>
    <w:qFormat/>
    <w:rPr>
      <w:rFonts w:ascii="Times New Roman" w:eastAsia="宋体" w:hAnsi="Times New Roman" w:cs="Times New Roman"/>
      <w:sz w:val="18"/>
      <w:szCs w:val="18"/>
    </w:rPr>
  </w:style>
  <w:style w:type="paragraph" w:customStyle="1" w:styleId="p0">
    <w:name w:val="p0"/>
    <w:basedOn w:val="a"/>
    <w:qFormat/>
    <w:pPr>
      <w:widowControl/>
    </w:pPr>
    <w:rPr>
      <w:kern w:val="0"/>
      <w:szCs w:val="21"/>
    </w:rPr>
  </w:style>
  <w:style w:type="paragraph" w:customStyle="1" w:styleId="p15">
    <w:name w:val="p15"/>
    <w:basedOn w:val="a"/>
    <w:qFormat/>
    <w:pPr>
      <w:widowControl/>
      <w:spacing w:line="560" w:lineRule="atLeast"/>
      <w:ind w:right="32" w:firstLine="420"/>
    </w:pPr>
    <w:rPr>
      <w:rFonts w:ascii="仿宋_GB2312" w:eastAsia="仿宋_GB2312" w:hAnsi="宋体" w:cs="宋体"/>
      <w:color w:val="000000"/>
      <w:kern w:val="0"/>
      <w:sz w:val="28"/>
      <w:szCs w:val="28"/>
    </w:rPr>
  </w:style>
  <w:style w:type="paragraph" w:customStyle="1" w:styleId="Char">
    <w:name w:val="Char"/>
    <w:basedOn w:val="a"/>
    <w:qFormat/>
    <w:pPr>
      <w:widowControl/>
      <w:spacing w:after="160" w:line="240" w:lineRule="exact"/>
      <w:jc w:val="left"/>
    </w:pPr>
    <w:rPr>
      <w:rFonts w:ascii="Verdana" w:eastAsia="仿宋_GB2312" w:hAnsi="Verdana"/>
      <w:kern w:val="0"/>
      <w:sz w:val="24"/>
      <w:szCs w:val="20"/>
      <w:lang w:eastAsia="en-US"/>
    </w:rPr>
  </w:style>
  <w:style w:type="character" w:customStyle="1" w:styleId="apple-style-span">
    <w:name w:val="apple-style-span"/>
    <w:basedOn w:val="a0"/>
    <w:qFormat/>
  </w:style>
  <w:style w:type="character" w:customStyle="1" w:styleId="keyword">
    <w:name w:val="keyword"/>
    <w:basedOn w:val="a0"/>
    <w:qFormat/>
    <w:rPr>
      <w:color w:val="6C9D30"/>
      <w:u w:val="none"/>
    </w:rPr>
  </w:style>
  <w:style w:type="character" w:customStyle="1" w:styleId="figtext1">
    <w:name w:val="figtext1"/>
    <w:basedOn w:val="a0"/>
    <w:qFormat/>
    <w:rPr>
      <w:color w:val="6C9D30"/>
    </w:rPr>
  </w:style>
  <w:style w:type="character" w:customStyle="1" w:styleId="caption7">
    <w:name w:val="caption7"/>
    <w:basedOn w:val="a0"/>
  </w:style>
  <w:style w:type="character" w:customStyle="1" w:styleId="tabtext1">
    <w:name w:val="tabtext1"/>
    <w:basedOn w:val="a0"/>
    <w:qFormat/>
    <w:rPr>
      <w:color w:val="6C9D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5.emf" /><Relationship Id="rId18" Type="http://schemas.openxmlformats.org/officeDocument/2006/relationships/oleObject" Target="embeddings/oleObject5.bin" /><Relationship Id="rId26" Type="http://schemas.openxmlformats.org/officeDocument/2006/relationships/image" Target="media/image14.png" /><Relationship Id="rId3" Type="http://schemas.openxmlformats.org/officeDocument/2006/relationships/settings" Target="settings.xml" /><Relationship Id="rId21" Type="http://schemas.openxmlformats.org/officeDocument/2006/relationships/oleObject" Target="embeddings/oleObject6.bin" /><Relationship Id="rId7" Type="http://schemas.openxmlformats.org/officeDocument/2006/relationships/image" Target="media/image1.jpeg" /><Relationship Id="rId12" Type="http://schemas.openxmlformats.org/officeDocument/2006/relationships/oleObject" Target="embeddings/oleObject2.bin" /><Relationship Id="rId17" Type="http://schemas.openxmlformats.org/officeDocument/2006/relationships/image" Target="media/image7.emf" /><Relationship Id="rId25"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oleObject" Target="embeddings/oleObject4.bin" /><Relationship Id="rId20" Type="http://schemas.openxmlformats.org/officeDocument/2006/relationships/image" Target="media/image9.emf" /><Relationship Id="rId29"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endnotes" Target="endnotes.xml" /><Relationship Id="rId11" Type="http://schemas.openxmlformats.org/officeDocument/2006/relationships/image" Target="media/image4.emf" /><Relationship Id="rId24" Type="http://schemas.openxmlformats.org/officeDocument/2006/relationships/image" Target="media/image12.png" /><Relationship Id="rId5" Type="http://schemas.openxmlformats.org/officeDocument/2006/relationships/footnotes" Target="footnotes.xml" /><Relationship Id="rId15" Type="http://schemas.openxmlformats.org/officeDocument/2006/relationships/image" Target="media/image6.emf" /><Relationship Id="rId23" Type="http://schemas.openxmlformats.org/officeDocument/2006/relationships/image" Target="media/image11.png" /><Relationship Id="rId28" Type="http://schemas.openxmlformats.org/officeDocument/2006/relationships/footer" Target="footer2.xml" /><Relationship Id="rId10" Type="http://schemas.openxmlformats.org/officeDocument/2006/relationships/oleObject" Target="embeddings/oleObject1.bin" /><Relationship Id="rId19" Type="http://schemas.openxmlformats.org/officeDocument/2006/relationships/image" Target="media/image8.png" /><Relationship Id="rId4" Type="http://schemas.openxmlformats.org/officeDocument/2006/relationships/webSettings" Target="webSettings.xml" /><Relationship Id="rId9" Type="http://schemas.openxmlformats.org/officeDocument/2006/relationships/image" Target="media/image3.emf" /><Relationship Id="rId14" Type="http://schemas.openxmlformats.org/officeDocument/2006/relationships/oleObject" Target="embeddings/oleObject3.bin" /><Relationship Id="rId22" Type="http://schemas.openxmlformats.org/officeDocument/2006/relationships/image" Target="media/image10.png" /><Relationship Id="rId27" Type="http://schemas.openxmlformats.org/officeDocument/2006/relationships/footer" Target="footer1.xml" /><Relationship Id="rId30"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702</Words>
  <Characters>4003</Characters>
  <Application>Microsoft Office Word</Application>
  <DocSecurity>0</DocSecurity>
  <Lines>33</Lines>
  <Paragraphs>9</Paragraphs>
  <ScaleCrop>false</ScaleCrop>
  <Company/>
  <LinksUpToDate>false</LinksUpToDate>
  <CharactersWithSpaces>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旭辰 朱</cp:lastModifiedBy>
  <cp:revision>2</cp:revision>
  <cp:lastPrinted>2017-12-06T06:16:00Z</cp:lastPrinted>
  <dcterms:created xsi:type="dcterms:W3CDTF">2019-08-03T14:31:00Z</dcterms:created>
  <dcterms:modified xsi:type="dcterms:W3CDTF">2019-08-03T14:31:00Z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