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D7" w:rsidRPr="000D53D7" w:rsidRDefault="000D53D7" w:rsidP="000D53D7">
      <w:pPr>
        <w:spacing w:line="240" w:lineRule="auto"/>
        <w:ind w:firstLineChars="200" w:firstLine="420"/>
        <w:jc w:val="center"/>
        <w:textAlignment w:val="baseline"/>
        <w:rPr>
          <w:rFonts w:ascii="Calibri" w:eastAsia="仿宋_GB2312" w:hAnsi="Calibri" w:cs="Times New Roman" w:hint="eastAsia"/>
          <w:kern w:val="0"/>
          <w:sz w:val="21"/>
          <w:szCs w:val="21"/>
        </w:rPr>
      </w:pPr>
      <w:r w:rsidRPr="000D53D7">
        <w:rPr>
          <w:rFonts w:ascii="Calibri" w:eastAsia="仿宋_GB2312" w:hAnsi="Calibri" w:cs="Times New Roman" w:hint="eastAsia"/>
          <w:kern w:val="0"/>
          <w:sz w:val="21"/>
          <w:szCs w:val="21"/>
        </w:rPr>
        <w:t>环境监测系统研究</w:t>
      </w:r>
    </w:p>
    <w:p w:rsidR="00C70C4D" w:rsidRPr="00C70C4D" w:rsidRDefault="00C70C4D" w:rsidP="00C70C4D">
      <w:pPr>
        <w:spacing w:line="240" w:lineRule="auto"/>
        <w:textAlignment w:val="baseline"/>
        <w:rPr>
          <w:rFonts w:ascii="Calibri" w:eastAsia="仿宋_GB2312" w:hAnsi="Calibri" w:cs="Times New Roman" w:hint="eastAsia"/>
          <w:b/>
          <w:kern w:val="0"/>
          <w:sz w:val="21"/>
          <w:szCs w:val="21"/>
        </w:rPr>
      </w:pPr>
      <w:r w:rsidRPr="00C70C4D">
        <w:rPr>
          <w:rFonts w:ascii="Calibri" w:eastAsia="仿宋_GB2312" w:hAnsi="Calibri" w:cs="Times New Roman" w:hint="eastAsia"/>
          <w:b/>
          <w:kern w:val="0"/>
          <w:sz w:val="21"/>
          <w:szCs w:val="21"/>
        </w:rPr>
        <w:t>1</w:t>
      </w:r>
      <w:r w:rsidRPr="00C70C4D">
        <w:rPr>
          <w:rFonts w:ascii="Calibri" w:eastAsia="仿宋_GB2312" w:hAnsi="Calibri" w:cs="Times New Roman" w:hint="eastAsia"/>
          <w:b/>
          <w:kern w:val="0"/>
          <w:sz w:val="21"/>
          <w:szCs w:val="21"/>
        </w:rPr>
        <w:t>，系统背景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随着人类社会工业化进程的不断发展，环境问题日益严重，城市内的生活环境受到严重干扰，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PM2.5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PM10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、噪声、紫外线强度等影响市民身体健康以及正常生活的环境参数备受关注，中国正以一个负责任的发展中国家的态度重视环境，并努力通过各种手段和措施加以改善，建设一个环境友好型社会。城市</w:t>
      </w:r>
      <w:proofErr w:type="gramStart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传感网</w:t>
      </w:r>
      <w:proofErr w:type="gramEnd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系统能有效解决这个问题，它以路灯杆和路灯配电箱为载体，通过布置遍布全市的各种传感器，能及时有效的把环境参数采集到数据中心，再通过重要广场，路口，公园的城市发布系统户外屏幕，及时把环境信息告之市民。即降低成本，又解决市民对环境信息知晓权，提高整个城市的品味和形象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环境传感器系统是智慧城市建设不可或缺的一部分，可实时动态监测风向、风速、温度、湿度、气压、降雨量、噪声、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PM2.5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PM10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等环境数据，环境监测数据可在软件上图动态显示或者数据报表显示，采集的环境传感数据经分析处理后可在灯杆屏上实时动态显示，环境监测数据告警支持联动灯杆屏、广播设备、摄像机、报警灯和灯具设备。环境传感器系统实现以下目标：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1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、全面覆盖的环境感知网络，实现环境数据的无缝融合、信息的综合分析；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2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、覆盖全面、规划统一的在线监测监控系统，实时对环境参数判断及时预警；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 xml:space="preserve"> 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3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、智能化工具自动监管，为政府提供环境工作的辅助决策；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4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、单点采集多点利用，实现政府部门与市民对环境监测数据进行共享；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5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、通过智慧城市管理系统，实时对监测数据进行分析决策，提供监管部门及被监管区域的数据互动、临场互动能力，使监管更加准确、有效，增强对紧急事件的应急处理能力。</w:t>
      </w:r>
    </w:p>
    <w:p w:rsidR="000D53D7" w:rsidRPr="000D53D7" w:rsidRDefault="000D53D7" w:rsidP="000D53D7">
      <w:pPr>
        <w:spacing w:line="240" w:lineRule="auto"/>
        <w:rPr>
          <w:rFonts w:ascii="Calibri" w:eastAsia="宋体" w:hAnsi="Calibri" w:cs="Times New Roman"/>
          <w:sz w:val="18"/>
          <w:szCs w:val="18"/>
        </w:rPr>
      </w:pPr>
    </w:p>
    <w:p w:rsidR="000D53D7" w:rsidRPr="00C70C4D" w:rsidRDefault="00C70C4D" w:rsidP="00C70C4D">
      <w:pPr>
        <w:pStyle w:val="a3"/>
        <w:numPr>
          <w:ilvl w:val="0"/>
          <w:numId w:val="8"/>
        </w:numPr>
        <w:spacing w:line="240" w:lineRule="auto"/>
        <w:ind w:firstLineChars="0"/>
        <w:rPr>
          <w:rFonts w:eastAsiaTheme="minorEastAsia"/>
          <w:b/>
          <w:sz w:val="18"/>
          <w:szCs w:val="18"/>
        </w:rPr>
      </w:pPr>
      <w:r>
        <w:rPr>
          <w:rFonts w:eastAsiaTheme="minorEastAsia" w:hint="eastAsia"/>
          <w:b/>
          <w:sz w:val="18"/>
          <w:szCs w:val="18"/>
        </w:rPr>
        <w:t>总体设计及说明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环境监测系统由上位机软件平台、数据采集器、前端气象传感器等传感设备组成。集中器与传感器通过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RS485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通信，把传感器采集到的数据回传到控制中心，可供气象局用，也可以发布到城市信息发布平台中。环境监测系统拓扑图如下</w:t>
      </w:r>
      <w:r w:rsidR="00DC3444">
        <w:rPr>
          <w:rFonts w:ascii="Calibri" w:eastAsia="仿宋_GB2312" w:hAnsi="Calibri" w:cs="Times New Roman" w:hint="eastAsia"/>
          <w:kern w:val="0"/>
          <w:sz w:val="18"/>
          <w:szCs w:val="18"/>
        </w:rPr>
        <w:t>图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所示：</w:t>
      </w:r>
    </w:p>
    <w:p w:rsidR="000D53D7" w:rsidRPr="000D53D7" w:rsidRDefault="000D53D7" w:rsidP="000D53D7">
      <w:pPr>
        <w:spacing w:line="240" w:lineRule="auto"/>
        <w:jc w:val="center"/>
        <w:rPr>
          <w:rFonts w:ascii="Calibri" w:eastAsia="宋体" w:hAnsi="Calibri" w:cs="Times New Roman"/>
          <w:b/>
          <w:sz w:val="18"/>
          <w:szCs w:val="18"/>
        </w:rPr>
      </w:pPr>
      <w:r w:rsidRPr="000D53D7">
        <w:rPr>
          <w:rFonts w:ascii="Calibri" w:eastAsia="宋体" w:hAnsi="Calibri" w:cs="Times New Roman"/>
          <w:b/>
          <w:noProof/>
          <w:sz w:val="18"/>
          <w:szCs w:val="18"/>
        </w:rPr>
        <w:drawing>
          <wp:inline distT="0" distB="0" distL="0" distR="0" wp14:anchorId="154E4F8F" wp14:editId="784EE488">
            <wp:extent cx="5276850" cy="3533775"/>
            <wp:effectExtent l="0" t="0" r="0" b="9525"/>
            <wp:docPr id="22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环境监测子系统具有多种监测功能，可针对不同需求快速部署客户需要的传感器。各类传感器通过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 2.4GHz 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无线树状网络或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 485 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总线等方式上传至服务器端，以便进一步的处理、分析与存储等。实时监测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 PM2.5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、温度、湿度、大气压、风速、风向、噪声等环境传感信息；采集的环境传感信息经分析处理后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lastRenderedPageBreak/>
        <w:t>将在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 LED 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显示屏上显示；通过联动信息发布平台发布，方便市民出行，同时为气象局提供基础气象数据，为环保局提供环境污染情况分析数据；还可以结合智慧城市管理平台联动其他设备使用。环境传感器的监测项包括：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CO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NO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NO2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SO2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O3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H2S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NH3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HCL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VOC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、湿度、降雨量、气压、温度、风速、风向、噪声、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PM2.5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PM10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、光辐射强度、紫外线强度等参数。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0" w:name="_Toc475037833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1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监测气温和相对湿度</w:t>
      </w:r>
      <w:bookmarkEnd w:id="0"/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采用国际最为先进温湿度探头处理方式，温湿度探头基于</w:t>
      </w:r>
      <w:proofErr w:type="spellStart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AirChip</w:t>
      </w:r>
      <w:proofErr w:type="spellEnd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 xml:space="preserve"> 3000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技术，以其独有的高精度在湿度测量方面独树一帜，结合了领先的传感器和集成电路技术，高精度、高性能和高可靠性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(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精度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&lt; 0.8 %</w:t>
      </w:r>
      <w:proofErr w:type="spellStart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rh</w:t>
      </w:r>
      <w:proofErr w:type="spellEnd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 xml:space="preserve"> / 0.1 K)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先进的技术。温湿度探头传感器置于防辐射、通风良好的外壳内。与传统非通风式传感器相比，此类传感器在强辐射条件下测量精度更高。结合气压因素，可根据气温和相对湿度来计算露点、绝对湿度和混合比等参数。</w:t>
      </w:r>
    </w:p>
    <w:p w:rsidR="000D53D7" w:rsidRPr="000D53D7" w:rsidRDefault="000D53D7" w:rsidP="000D53D7">
      <w:pPr>
        <w:spacing w:line="240" w:lineRule="auto"/>
        <w:ind w:firstLineChars="200" w:firstLine="361"/>
        <w:textAlignment w:val="baseline"/>
        <w:rPr>
          <w:rFonts w:ascii="Calibri" w:eastAsia="仿宋_GB2312" w:hAnsi="Calibri" w:cs="Times New Roman"/>
          <w:b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温度技术参数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实际温度值：当前时刻的温度值；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平均温度值：设定时段内的算术平均温度值；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最大温度值：设定时段内的最大温度值；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最小温度值：设定时段内的最小温度值。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大气温度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NTC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-50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°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C - +80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°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C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分辨率：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0.1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°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C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传感器精度：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±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0.1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°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C</w:t>
            </w:r>
          </w:p>
        </w:tc>
      </w:tr>
    </w:tbl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1"/>
        <w:textAlignment w:val="baseline"/>
        <w:rPr>
          <w:rFonts w:ascii="Calibri" w:eastAsia="仿宋_GB2312" w:hAnsi="Calibri" w:cs="Times New Roman"/>
          <w:b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湿度技术参数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实际湿度值：当前时刻的湿度值；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平均湿度值：设定时段内的算术平均湿度值；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最大湿度值：设定时段内的最大湿度值；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最小湿度值：设定时段内的最小湿度值。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大气湿度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电容式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0 - 100% RH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分辨率：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0.1% RH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0.8% RH</w:t>
            </w:r>
          </w:p>
        </w:tc>
      </w:tr>
    </w:tbl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1" w:name="_Toc475037834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2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监测气压</w:t>
      </w:r>
      <w:bookmarkEnd w:id="1"/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通过一个内置传感器（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MEMS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）测量绝对气压。利用当地海拔高度（用户可自行设定），通过气压公式可计算以海平面为基准的相对气压。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实际气压值：当前时刻的气压值；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平均气压值：设定时段内的算术平均气压值；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最大气压值：设定时段内的最大气压值；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最小气压值：设定时段内的最小气压值。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气压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MEMS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传感器－电容式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10 - 1100hPa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分辨率：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0.1hPa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±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1.0hPa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单位：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proofErr w:type="spellStart"/>
            <w:r w:rsidRPr="000D53D7">
              <w:rPr>
                <w:rFonts w:eastAsia="仿宋_GB2312"/>
                <w:kern w:val="0"/>
                <w:sz w:val="18"/>
                <w:szCs w:val="18"/>
              </w:rPr>
              <w:t>hPa</w:t>
            </w:r>
            <w:proofErr w:type="spellEnd"/>
          </w:p>
        </w:tc>
      </w:tr>
    </w:tbl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2" w:name="_Toc475037835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3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监测风</w:t>
      </w:r>
      <w:bookmarkEnd w:id="2"/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速和风向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lastRenderedPageBreak/>
        <w:t>风速和风向测量，采用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4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个超声波传感器，可在各个方向循环进行测量。高频率和高灵敏度的超声波传输可以避免各种工业场所的电磁干扰，具有较高的可靠性。</w:t>
      </w:r>
    </w:p>
    <w:p w:rsidR="000D53D7" w:rsidRPr="000D53D7" w:rsidRDefault="000D53D7" w:rsidP="000D53D7">
      <w:pPr>
        <w:spacing w:line="240" w:lineRule="auto"/>
        <w:ind w:firstLineChars="200" w:firstLine="361"/>
        <w:textAlignment w:val="baseline"/>
        <w:rPr>
          <w:rFonts w:ascii="Calibri" w:eastAsia="仿宋_GB2312" w:hAnsi="Calibri" w:cs="Times New Roman"/>
          <w:b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风速技术参数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实际风速值：当前时刻的风速值；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平均风速值：设定时段内的算术平均风速值；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最大风速值：设定时段内的最大风速值；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最小风速值：设定时段内的最小风速值。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风速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超声波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60m/s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分辨率：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0.1m/s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±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0.3 m/s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或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3%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响应阈值：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0.3 m/s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单位：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m/s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；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km/h</w:t>
            </w:r>
          </w:p>
        </w:tc>
      </w:tr>
    </w:tbl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1"/>
        <w:textAlignment w:val="baseline"/>
        <w:rPr>
          <w:rFonts w:ascii="Calibri" w:eastAsia="仿宋_GB2312" w:hAnsi="Calibri" w:cs="Times New Roman"/>
          <w:b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风向技术参数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实际风向值：当前时刻的风向值；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平均风向值：设定时段内的算术平均风向矢量值；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最大风向值：设定时段内的最大风向值；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最小风向值：设定时段内的最小风向值。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风向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超声波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360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°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分辨率：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0.1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°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&lt; 3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°，均方根误差，自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1.0 m/s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响应阈值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0.3 m/s</w:t>
            </w:r>
          </w:p>
        </w:tc>
      </w:tr>
    </w:tbl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3" w:name="_Toc475037837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4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监测降雨量</w:t>
      </w:r>
      <w:bookmarkEnd w:id="3"/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光学雨量计是采用光学的原理，当有雨滴击中外表面时，内部光敏器件能得到光束强度的变化，通过对不同光束的变化输出一定的脉冲计数值，并可根据光束变化来反映雨滴的大小。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内部通过复杂的电路和数字信号处理检测细小的雨滴，对环境光的干扰已经滤除。也对外表面污损情况作了数据补偿。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监测传感器除了能检测到雨滴的外径大小，还可以模拟</w:t>
      </w:r>
      <w:proofErr w:type="gramStart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翻斗式雨量筒</w:t>
      </w:r>
      <w:proofErr w:type="gramEnd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（精度范围可调：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0.2mm/0.01mm/0.001mm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），但是比翻斗式</w:t>
      </w:r>
      <w:proofErr w:type="gramStart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雨量通要更</w:t>
      </w:r>
      <w:proofErr w:type="gramEnd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灵敏，可监测到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0.01mm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，甚至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0.001mm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的降雨量。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无移动部件，凸面设计完成自我清洁。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通过内部发光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LED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来检测传感器是否运行正常。</w:t>
      </w:r>
    </w:p>
    <w:p w:rsidR="000D53D7" w:rsidRPr="000D53D7" w:rsidRDefault="000D53D7" w:rsidP="000D53D7">
      <w:pPr>
        <w:spacing w:line="240" w:lineRule="auto"/>
        <w:ind w:firstLineChars="200" w:firstLine="361"/>
        <w:textAlignment w:val="baseline"/>
        <w:rPr>
          <w:rFonts w:ascii="Calibri" w:eastAsia="仿宋_GB2312" w:hAnsi="Calibri" w:cs="Times New Roman"/>
          <w:b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雨量技术参数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周期降雨量：计算当前发送间隔周期内的降雨量；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日累计降雨量：计算当日累计的降雨量值。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1"/>
        <w:gridCol w:w="6431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雨量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光学散射法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无限制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分辨率：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0.001mm /0.01mm/0.2mm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优于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4%</w:t>
            </w:r>
          </w:p>
        </w:tc>
      </w:tr>
    </w:tbl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4" w:name="_Toc475037838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5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监测太阳辐射</w:t>
      </w:r>
      <w:bookmarkEnd w:id="4"/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用于测量太阳的短波辐射（主要波段：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400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～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1100nm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），它利用硅光探测器产生一个正比于入射光的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lastRenderedPageBreak/>
        <w:t>电压输出信号，为了减小余弦误差，并在仪器内安置一个余弦修正器，该辐射计可直接与数字电压表或数据采集器相连，进行辐射强度的测量。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太阳辐射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硅光探测器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波长范围：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400nm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1100nm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2000w/m2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分辨率：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1w/m2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优于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5%</w:t>
            </w:r>
          </w:p>
        </w:tc>
      </w:tr>
    </w:tbl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5" w:name="_Toc475037839"/>
      <w:bookmarkStart w:id="6" w:name="_Toc319600304"/>
      <w:bookmarkStart w:id="7" w:name="_Toc319599809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6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监测紫外线指数</w:t>
      </w:r>
      <w:bookmarkEnd w:id="5"/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通过内置的光敏元件感应紫外线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A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与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B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波段，可用于紫外辐射强度测量仪。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/>
          <w:kern w:val="0"/>
          <w:sz w:val="18"/>
          <w:szCs w:val="18"/>
        </w:rPr>
        <w:t xml:space="preserve">   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紫外线指数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光敏元件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波长范围：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290nm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400nm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测量指数范围：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15 UVI</w:t>
            </w:r>
          </w:p>
        </w:tc>
      </w:tr>
    </w:tbl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8" w:name="_Toc475037845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7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</w:t>
      </w:r>
      <w:r w:rsidRPr="000D53D7">
        <w:rPr>
          <w:rFonts w:ascii="Calibri" w:eastAsia="仿宋_GB2312" w:hAnsi="Calibri" w:cs="Times New Roman"/>
          <w:b/>
          <w:kern w:val="0"/>
          <w:sz w:val="18"/>
          <w:szCs w:val="18"/>
        </w:rPr>
        <w:t>PM2.5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和</w:t>
      </w:r>
      <w:r w:rsidRPr="000D53D7">
        <w:rPr>
          <w:rFonts w:ascii="Calibri" w:eastAsia="仿宋_GB2312" w:hAnsi="Calibri" w:cs="Times New Roman"/>
          <w:b/>
          <w:kern w:val="0"/>
          <w:sz w:val="18"/>
          <w:szCs w:val="18"/>
        </w:rPr>
        <w:t>PM10</w:t>
      </w:r>
      <w:bookmarkEnd w:id="8"/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颗粒物监测的重要性：超细颗粒物（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PM1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），悬浮颗粒物（可入肺颗粒物），颗粒物（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PM10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）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10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，颗粒物（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）是微小的固体或液体物质悬浮在地球的大气中，其中可能包括灰尘、生物污染物，如细菌、霉菌、花粉；颗粒污染物如油烟、粉煤灰、水泥粉尘等颗粒物（</w:t>
      </w:r>
      <w:proofErr w:type="spellStart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PM</w:t>
      </w:r>
      <w:proofErr w:type="spellEnd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）的大小从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0.1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微米到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100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微米不等。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颗粒物来源：火力发电厂、汽车燃料排放、明火、大气尘、烟雾、水泥工业、自然资源等。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颗粒</w:t>
      </w:r>
      <w:proofErr w:type="gramStart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物健康</w:t>
      </w:r>
      <w:proofErr w:type="gramEnd"/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危害较大的颗粒一般都在鼻子和咽喉的纤毛和粘液过滤，但颗粒物小于</w:t>
      </w:r>
      <w:r w:rsidRPr="000D53D7">
        <w:rPr>
          <w:rFonts w:ascii="Calibri" w:eastAsia="仿宋_GB2312" w:hAnsi="Calibri" w:cs="Times New Roman"/>
          <w:kern w:val="0"/>
          <w:sz w:val="18"/>
          <w:szCs w:val="18"/>
        </w:rPr>
        <w:t>10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微米，可以沉积在支气管和肺部造成健康问题。吸入颗粒物在人类和动物中被广泛研究的影响包括哮喘、肺癌、心血管疾病、呼吸系统疾病、早产、出生缺陷和过早死亡。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本产品采用激光散射方法采集环境中的颗粒度含量。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/>
                <w:kern w:val="0"/>
                <w:sz w:val="18"/>
                <w:szCs w:val="18"/>
              </w:rPr>
              <w:t>PM2.5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激光散射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/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风扇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监测范围：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1000ug/m2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灵敏度：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0.3ug/m3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15%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或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+10ug/m3</w:t>
            </w:r>
          </w:p>
        </w:tc>
      </w:tr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jc w:val="center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/>
                <w:kern w:val="0"/>
                <w:sz w:val="18"/>
                <w:szCs w:val="18"/>
              </w:rPr>
              <w:t>PM10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激光散射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/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风扇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监测范围：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1000ug/m2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灵敏度：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0.3ug/m3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15%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或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+10ug/m3</w:t>
            </w:r>
          </w:p>
        </w:tc>
      </w:tr>
    </w:tbl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bookmarkStart w:id="9" w:name="_Toc475037846"/>
      <w:r w:rsidRPr="000D53D7">
        <w:rPr>
          <w:rFonts w:ascii="Calibri" w:eastAsia="仿宋_GB2312" w:hAnsi="Calibri" w:cs="Times New Roman"/>
          <w:kern w:val="0"/>
          <w:sz w:val="18"/>
          <w:szCs w:val="18"/>
        </w:rPr>
        <w:t>8</w:t>
      </w: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、</w:t>
      </w: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监测噪声</w:t>
      </w:r>
      <w:bookmarkEnd w:id="9"/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噪声监测的重要性：环境噪声是指在特定环境中存在的所有噪声的积累。这些噪声源使数以百万计的人受到噪音污染，造成的不仅是烦恼，而且还有重大的健康后果，如听力损失和心血管疾病的发病率升高。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噪声源：汽车、飞机、火车、工业，喇叭，嘈杂的音乐等。</w:t>
      </w:r>
    </w:p>
    <w:p w:rsidR="000D53D7" w:rsidRPr="000D53D7" w:rsidRDefault="000D53D7" w:rsidP="000D53D7">
      <w:pPr>
        <w:spacing w:line="240" w:lineRule="auto"/>
        <w:ind w:firstLineChars="200" w:firstLine="360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kern w:val="0"/>
          <w:sz w:val="18"/>
          <w:szCs w:val="18"/>
        </w:rPr>
        <w:t>噪声的健康危害：根据持续时间和暴露水平，噪音可能会促进听力损失，高血压，缺血性心脏病，睡眠障碍，出生缺陷等。</w:t>
      </w:r>
      <w:bookmarkEnd w:id="6"/>
      <w:bookmarkEnd w:id="7"/>
    </w:p>
    <w:p w:rsidR="000D53D7" w:rsidRPr="000D53D7" w:rsidRDefault="000D53D7" w:rsidP="000D53D7">
      <w:pPr>
        <w:spacing w:line="240" w:lineRule="auto"/>
        <w:ind w:firstLineChars="200" w:firstLine="361"/>
        <w:textAlignment w:val="baseline"/>
        <w:rPr>
          <w:rFonts w:ascii="Calibri" w:eastAsia="仿宋_GB2312" w:hAnsi="Calibri" w:cs="Times New Roman"/>
          <w:b/>
          <w:kern w:val="0"/>
          <w:sz w:val="18"/>
          <w:szCs w:val="18"/>
        </w:rPr>
      </w:pPr>
      <w:r w:rsidRPr="000D53D7">
        <w:rPr>
          <w:rFonts w:ascii="Calibri" w:eastAsia="仿宋_GB2312" w:hAnsi="Calibri" w:cs="Times New Roman" w:hint="eastAsia"/>
          <w:b/>
          <w:kern w:val="0"/>
          <w:sz w:val="18"/>
          <w:szCs w:val="18"/>
        </w:rPr>
        <w:t>技术参数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6430"/>
      </w:tblGrid>
      <w:tr w:rsidR="000D53D7" w:rsidRPr="000D53D7" w:rsidTr="004373AB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0D53D7">
            <w:pPr>
              <w:spacing w:line="240" w:lineRule="auto"/>
              <w:ind w:firstLineChars="200" w:firstLine="360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噪声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测量方法：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半导体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监测范围：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 xml:space="preserve"> 30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～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130dB(A)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/>
                <w:kern w:val="0"/>
                <w:sz w:val="18"/>
                <w:szCs w:val="18"/>
              </w:rPr>
              <w:t>A</w:t>
            </w: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计权（模拟人耳）</w:t>
            </w:r>
          </w:p>
        </w:tc>
      </w:tr>
      <w:tr w:rsidR="000D53D7" w:rsidRPr="000D53D7" w:rsidTr="00437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widowControl/>
              <w:spacing w:line="240" w:lineRule="auto"/>
              <w:jc w:val="left"/>
              <w:rPr>
                <w:rFonts w:eastAsia="仿宋_GB2312"/>
                <w:kern w:val="0"/>
                <w:sz w:val="18"/>
                <w:szCs w:val="18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3D7" w:rsidRPr="000D53D7" w:rsidRDefault="000D53D7" w:rsidP="004373AB">
            <w:pPr>
              <w:spacing w:line="240" w:lineRule="auto"/>
              <w:textAlignment w:val="baseline"/>
              <w:rPr>
                <w:rFonts w:eastAsia="仿宋_GB2312"/>
                <w:kern w:val="0"/>
                <w:sz w:val="18"/>
                <w:szCs w:val="18"/>
              </w:rPr>
            </w:pPr>
            <w:r w:rsidRPr="000D53D7">
              <w:rPr>
                <w:rFonts w:eastAsia="仿宋_GB2312" w:hint="eastAsia"/>
                <w:kern w:val="0"/>
                <w:sz w:val="18"/>
                <w:szCs w:val="18"/>
              </w:rPr>
              <w:t>精度：</w:t>
            </w:r>
            <w:r w:rsidRPr="000D53D7">
              <w:rPr>
                <w:rFonts w:eastAsia="仿宋_GB2312"/>
                <w:kern w:val="0"/>
                <w:sz w:val="18"/>
                <w:szCs w:val="18"/>
              </w:rPr>
              <w:t>1.5dB</w:t>
            </w:r>
          </w:p>
        </w:tc>
      </w:tr>
    </w:tbl>
    <w:p w:rsidR="000D53D7" w:rsidRPr="000D53D7" w:rsidRDefault="000D53D7" w:rsidP="000D53D7">
      <w:pPr>
        <w:spacing w:line="240" w:lineRule="auto"/>
        <w:rPr>
          <w:rFonts w:ascii="Calibri" w:eastAsia="宋体" w:hAnsi="Calibri" w:cs="Times New Roman"/>
          <w:sz w:val="18"/>
          <w:szCs w:val="18"/>
        </w:rPr>
      </w:pPr>
    </w:p>
    <w:p w:rsidR="000D53D7" w:rsidRPr="00801963" w:rsidRDefault="00801963" w:rsidP="00801963">
      <w:pPr>
        <w:spacing w:line="240" w:lineRule="auto"/>
        <w:textAlignment w:val="baseline"/>
        <w:rPr>
          <w:rFonts w:ascii="Calibri" w:eastAsia="仿宋_GB2312" w:hAnsi="Calibri" w:cs="Times New Roman"/>
          <w:b/>
          <w:kern w:val="0"/>
          <w:sz w:val="21"/>
          <w:szCs w:val="21"/>
        </w:rPr>
      </w:pPr>
      <w:r w:rsidRPr="00801963">
        <w:rPr>
          <w:rFonts w:ascii="Calibri" w:eastAsia="仿宋_GB2312" w:hAnsi="Calibri" w:cs="Times New Roman" w:hint="eastAsia"/>
          <w:b/>
          <w:kern w:val="0"/>
          <w:sz w:val="21"/>
          <w:szCs w:val="21"/>
        </w:rPr>
        <w:t>3</w:t>
      </w:r>
      <w:r w:rsidRPr="00801963">
        <w:rPr>
          <w:rFonts w:ascii="Calibri" w:eastAsia="仿宋_GB2312" w:hAnsi="Calibri" w:cs="Times New Roman" w:hint="eastAsia"/>
          <w:b/>
          <w:kern w:val="0"/>
          <w:sz w:val="21"/>
          <w:szCs w:val="21"/>
        </w:rPr>
        <w:t>，主要</w:t>
      </w:r>
      <w:r w:rsidR="000D53D7" w:rsidRPr="00801963">
        <w:rPr>
          <w:rFonts w:ascii="Calibri" w:eastAsia="仿宋_GB2312" w:hAnsi="Calibri" w:cs="Times New Roman" w:hint="eastAsia"/>
          <w:b/>
          <w:kern w:val="0"/>
          <w:sz w:val="21"/>
          <w:szCs w:val="21"/>
        </w:rPr>
        <w:t>技术指标</w:t>
      </w:r>
      <w:bookmarkStart w:id="10" w:name="_GoBack"/>
      <w:bookmarkEnd w:id="10"/>
    </w:p>
    <w:p w:rsidR="000D53D7" w:rsidRPr="000D53D7" w:rsidRDefault="000D53D7" w:rsidP="000D53D7">
      <w:pPr>
        <w:spacing w:line="240" w:lineRule="auto"/>
        <w:textAlignment w:val="baseline"/>
        <w:rPr>
          <w:rFonts w:ascii="Calibri" w:eastAsia="仿宋_GB2312" w:hAnsi="Calibri" w:cs="Times New Roman"/>
          <w:kern w:val="0"/>
          <w:sz w:val="18"/>
          <w:szCs w:val="18"/>
        </w:rPr>
      </w:pPr>
      <w:r w:rsidRPr="000D53D7">
        <w:rPr>
          <w:rFonts w:ascii="Calibri" w:eastAsia="宋体" w:hAnsi="Calibri" w:cs="Times New Roman"/>
          <w:noProof/>
          <w:sz w:val="18"/>
          <w:szCs w:val="18"/>
        </w:rPr>
        <w:drawing>
          <wp:inline distT="0" distB="0" distL="0" distR="0" wp14:anchorId="029B2B02" wp14:editId="15CD8F78">
            <wp:extent cx="5276850" cy="3152775"/>
            <wp:effectExtent l="0" t="0" r="0" b="9525"/>
            <wp:docPr id="22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6D" w:rsidRPr="000D53D7" w:rsidRDefault="004C4D6D" w:rsidP="000D53D7">
      <w:pPr>
        <w:rPr>
          <w:sz w:val="18"/>
          <w:szCs w:val="18"/>
        </w:rPr>
      </w:pPr>
    </w:p>
    <w:sectPr w:rsidR="004C4D6D" w:rsidRPr="000D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2AE" w:rsidRDefault="000412AE" w:rsidP="00AA03EE">
      <w:r>
        <w:separator/>
      </w:r>
    </w:p>
  </w:endnote>
  <w:endnote w:type="continuationSeparator" w:id="0">
    <w:p w:rsidR="000412AE" w:rsidRDefault="000412AE" w:rsidP="00AA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2AE" w:rsidRDefault="000412AE" w:rsidP="00AA03EE">
      <w:r>
        <w:separator/>
      </w:r>
    </w:p>
  </w:footnote>
  <w:footnote w:type="continuationSeparator" w:id="0">
    <w:p w:rsidR="000412AE" w:rsidRDefault="000412AE" w:rsidP="00AA0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44E"/>
    <w:multiLevelType w:val="hybridMultilevel"/>
    <w:tmpl w:val="BB9A95F6"/>
    <w:lvl w:ilvl="0" w:tplc="BDFCF30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04325D"/>
    <w:multiLevelType w:val="hybridMultilevel"/>
    <w:tmpl w:val="532E806E"/>
    <w:lvl w:ilvl="0" w:tplc="DF9E54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962313"/>
    <w:multiLevelType w:val="hybridMultilevel"/>
    <w:tmpl w:val="EFFC4A38"/>
    <w:lvl w:ilvl="0" w:tplc="E004BD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386E49"/>
    <w:multiLevelType w:val="hybridMultilevel"/>
    <w:tmpl w:val="6C0A2912"/>
    <w:lvl w:ilvl="0" w:tplc="D37E34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372838"/>
    <w:multiLevelType w:val="hybridMultilevel"/>
    <w:tmpl w:val="50460D34"/>
    <w:lvl w:ilvl="0" w:tplc="45F09D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6C418E"/>
    <w:multiLevelType w:val="hybridMultilevel"/>
    <w:tmpl w:val="12767BF6"/>
    <w:lvl w:ilvl="0" w:tplc="577804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D26E52"/>
    <w:multiLevelType w:val="multilevel"/>
    <w:tmpl w:val="0170A4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BA72E1E"/>
    <w:multiLevelType w:val="hybridMultilevel"/>
    <w:tmpl w:val="220ECFDA"/>
    <w:lvl w:ilvl="0" w:tplc="F238DCBE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05"/>
    <w:rsid w:val="00014DE2"/>
    <w:rsid w:val="00022D09"/>
    <w:rsid w:val="00033F43"/>
    <w:rsid w:val="000344DE"/>
    <w:rsid w:val="000412AE"/>
    <w:rsid w:val="00047681"/>
    <w:rsid w:val="00075EE8"/>
    <w:rsid w:val="00080566"/>
    <w:rsid w:val="0008725D"/>
    <w:rsid w:val="000938FB"/>
    <w:rsid w:val="000C709E"/>
    <w:rsid w:val="000D53D7"/>
    <w:rsid w:val="000E336A"/>
    <w:rsid w:val="00105B29"/>
    <w:rsid w:val="001148AE"/>
    <w:rsid w:val="00114CFB"/>
    <w:rsid w:val="00115354"/>
    <w:rsid w:val="00127405"/>
    <w:rsid w:val="001338AB"/>
    <w:rsid w:val="001604FF"/>
    <w:rsid w:val="00173794"/>
    <w:rsid w:val="001746A8"/>
    <w:rsid w:val="001B6BE5"/>
    <w:rsid w:val="001C167E"/>
    <w:rsid w:val="001E359F"/>
    <w:rsid w:val="0023162A"/>
    <w:rsid w:val="002410D8"/>
    <w:rsid w:val="00252D16"/>
    <w:rsid w:val="0027138A"/>
    <w:rsid w:val="0027588F"/>
    <w:rsid w:val="00283AAA"/>
    <w:rsid w:val="00291ED2"/>
    <w:rsid w:val="002E7370"/>
    <w:rsid w:val="002F40EE"/>
    <w:rsid w:val="0032794C"/>
    <w:rsid w:val="003375FE"/>
    <w:rsid w:val="003400E4"/>
    <w:rsid w:val="00351967"/>
    <w:rsid w:val="0035371C"/>
    <w:rsid w:val="00353733"/>
    <w:rsid w:val="00377E3A"/>
    <w:rsid w:val="0038697B"/>
    <w:rsid w:val="003A1185"/>
    <w:rsid w:val="003C2C5E"/>
    <w:rsid w:val="003C60D9"/>
    <w:rsid w:val="004111FC"/>
    <w:rsid w:val="004313D8"/>
    <w:rsid w:val="00435014"/>
    <w:rsid w:val="0044123D"/>
    <w:rsid w:val="00442D35"/>
    <w:rsid w:val="00447078"/>
    <w:rsid w:val="0046076F"/>
    <w:rsid w:val="00467C45"/>
    <w:rsid w:val="0047242F"/>
    <w:rsid w:val="00495260"/>
    <w:rsid w:val="004B23F3"/>
    <w:rsid w:val="004C4D6D"/>
    <w:rsid w:val="004D0AEE"/>
    <w:rsid w:val="004D6FCA"/>
    <w:rsid w:val="00512B10"/>
    <w:rsid w:val="00542B21"/>
    <w:rsid w:val="00572A4B"/>
    <w:rsid w:val="00577CE9"/>
    <w:rsid w:val="0058012B"/>
    <w:rsid w:val="00581804"/>
    <w:rsid w:val="005C7450"/>
    <w:rsid w:val="005D1CC0"/>
    <w:rsid w:val="005E10D8"/>
    <w:rsid w:val="00604E6E"/>
    <w:rsid w:val="00605511"/>
    <w:rsid w:val="00610CCD"/>
    <w:rsid w:val="00617D35"/>
    <w:rsid w:val="00640FB1"/>
    <w:rsid w:val="00651A4F"/>
    <w:rsid w:val="006634BF"/>
    <w:rsid w:val="00666B2F"/>
    <w:rsid w:val="00691AA9"/>
    <w:rsid w:val="006B0B61"/>
    <w:rsid w:val="006B0BA4"/>
    <w:rsid w:val="006D74E2"/>
    <w:rsid w:val="006E7C56"/>
    <w:rsid w:val="006F4F96"/>
    <w:rsid w:val="00700A41"/>
    <w:rsid w:val="0070414F"/>
    <w:rsid w:val="0070556D"/>
    <w:rsid w:val="00715480"/>
    <w:rsid w:val="00722B55"/>
    <w:rsid w:val="00760602"/>
    <w:rsid w:val="0077273C"/>
    <w:rsid w:val="00776407"/>
    <w:rsid w:val="00781B38"/>
    <w:rsid w:val="007C5ABA"/>
    <w:rsid w:val="007D670D"/>
    <w:rsid w:val="007E0C4D"/>
    <w:rsid w:val="007F4112"/>
    <w:rsid w:val="007F7E7A"/>
    <w:rsid w:val="00801963"/>
    <w:rsid w:val="00802D2E"/>
    <w:rsid w:val="008065FA"/>
    <w:rsid w:val="0084699D"/>
    <w:rsid w:val="00850E18"/>
    <w:rsid w:val="00885270"/>
    <w:rsid w:val="008C330C"/>
    <w:rsid w:val="008D4328"/>
    <w:rsid w:val="008D56D1"/>
    <w:rsid w:val="008F7689"/>
    <w:rsid w:val="009074D9"/>
    <w:rsid w:val="0091410D"/>
    <w:rsid w:val="00927182"/>
    <w:rsid w:val="009314DD"/>
    <w:rsid w:val="00935BF8"/>
    <w:rsid w:val="00985CC3"/>
    <w:rsid w:val="009B3ADB"/>
    <w:rsid w:val="009B5AFB"/>
    <w:rsid w:val="009B6AC3"/>
    <w:rsid w:val="009D1994"/>
    <w:rsid w:val="009F2B37"/>
    <w:rsid w:val="009F5836"/>
    <w:rsid w:val="00A12256"/>
    <w:rsid w:val="00A236D5"/>
    <w:rsid w:val="00A25C5D"/>
    <w:rsid w:val="00A415F1"/>
    <w:rsid w:val="00A438BE"/>
    <w:rsid w:val="00A451DE"/>
    <w:rsid w:val="00A556A6"/>
    <w:rsid w:val="00A6604F"/>
    <w:rsid w:val="00A72C78"/>
    <w:rsid w:val="00A97BF7"/>
    <w:rsid w:val="00AA03EE"/>
    <w:rsid w:val="00AC7066"/>
    <w:rsid w:val="00AE1371"/>
    <w:rsid w:val="00AE3210"/>
    <w:rsid w:val="00AE5A1F"/>
    <w:rsid w:val="00AE739D"/>
    <w:rsid w:val="00AF1714"/>
    <w:rsid w:val="00AF7BC9"/>
    <w:rsid w:val="00B035BF"/>
    <w:rsid w:val="00B2701F"/>
    <w:rsid w:val="00B57C62"/>
    <w:rsid w:val="00B61F52"/>
    <w:rsid w:val="00B7652F"/>
    <w:rsid w:val="00B84D3F"/>
    <w:rsid w:val="00B97354"/>
    <w:rsid w:val="00BB607B"/>
    <w:rsid w:val="00BD682A"/>
    <w:rsid w:val="00BE3854"/>
    <w:rsid w:val="00BF01FF"/>
    <w:rsid w:val="00BF1514"/>
    <w:rsid w:val="00C027D1"/>
    <w:rsid w:val="00C12CC1"/>
    <w:rsid w:val="00C14F32"/>
    <w:rsid w:val="00C16A90"/>
    <w:rsid w:val="00C252C0"/>
    <w:rsid w:val="00C548F0"/>
    <w:rsid w:val="00C70C4D"/>
    <w:rsid w:val="00C73B91"/>
    <w:rsid w:val="00C76220"/>
    <w:rsid w:val="00CA46E4"/>
    <w:rsid w:val="00CC2BA2"/>
    <w:rsid w:val="00CD1B4B"/>
    <w:rsid w:val="00CD276E"/>
    <w:rsid w:val="00D022A4"/>
    <w:rsid w:val="00D05A89"/>
    <w:rsid w:val="00D12F6B"/>
    <w:rsid w:val="00D14B86"/>
    <w:rsid w:val="00D4456A"/>
    <w:rsid w:val="00D716FB"/>
    <w:rsid w:val="00D72E84"/>
    <w:rsid w:val="00D77643"/>
    <w:rsid w:val="00D80433"/>
    <w:rsid w:val="00D97AE2"/>
    <w:rsid w:val="00DC16A5"/>
    <w:rsid w:val="00DC3444"/>
    <w:rsid w:val="00DC3EF6"/>
    <w:rsid w:val="00DC73B8"/>
    <w:rsid w:val="00DE0F3E"/>
    <w:rsid w:val="00DE3B34"/>
    <w:rsid w:val="00DF248E"/>
    <w:rsid w:val="00E1089F"/>
    <w:rsid w:val="00E4019C"/>
    <w:rsid w:val="00E82B44"/>
    <w:rsid w:val="00EA42A8"/>
    <w:rsid w:val="00EB4C59"/>
    <w:rsid w:val="00F145A4"/>
    <w:rsid w:val="00F602BF"/>
    <w:rsid w:val="00F74686"/>
    <w:rsid w:val="00F92158"/>
    <w:rsid w:val="00FB594E"/>
    <w:rsid w:val="00FC1C24"/>
    <w:rsid w:val="00FD33AA"/>
    <w:rsid w:val="00F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3D7"/>
    <w:pPr>
      <w:widowControl w:val="0"/>
      <w:spacing w:line="360" w:lineRule="auto"/>
      <w:jc w:val="both"/>
    </w:pPr>
    <w:rPr>
      <w:rFonts w:eastAsia="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C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03E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03EE"/>
    <w:rPr>
      <w:sz w:val="18"/>
      <w:szCs w:val="18"/>
    </w:rPr>
  </w:style>
  <w:style w:type="character" w:styleId="a7">
    <w:name w:val="Hyperlink"/>
    <w:basedOn w:val="a0"/>
    <w:uiPriority w:val="99"/>
    <w:unhideWhenUsed/>
    <w:rsid w:val="006F4F96"/>
    <w:rPr>
      <w:color w:val="0000FF" w:themeColor="hyperlink"/>
      <w:u w:val="single"/>
    </w:rPr>
  </w:style>
  <w:style w:type="table" w:customStyle="1" w:styleId="1">
    <w:name w:val="网格型1"/>
    <w:basedOn w:val="a1"/>
    <w:next w:val="a8"/>
    <w:uiPriority w:val="59"/>
    <w:rsid w:val="000D53D7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D5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3D7"/>
    <w:pPr>
      <w:widowControl w:val="0"/>
      <w:spacing w:line="360" w:lineRule="auto"/>
      <w:jc w:val="both"/>
    </w:pPr>
    <w:rPr>
      <w:rFonts w:eastAsia="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C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03E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03EE"/>
    <w:rPr>
      <w:sz w:val="18"/>
      <w:szCs w:val="18"/>
    </w:rPr>
  </w:style>
  <w:style w:type="character" w:styleId="a7">
    <w:name w:val="Hyperlink"/>
    <w:basedOn w:val="a0"/>
    <w:uiPriority w:val="99"/>
    <w:unhideWhenUsed/>
    <w:rsid w:val="006F4F96"/>
    <w:rPr>
      <w:color w:val="0000FF" w:themeColor="hyperlink"/>
      <w:u w:val="single"/>
    </w:rPr>
  </w:style>
  <w:style w:type="table" w:customStyle="1" w:styleId="1">
    <w:name w:val="网格型1"/>
    <w:basedOn w:val="a1"/>
    <w:next w:val="a8"/>
    <w:uiPriority w:val="59"/>
    <w:rsid w:val="000D53D7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D5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24220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liujb114</dc:creator>
  <cp:keywords/>
  <dc:description/>
  <cp:lastModifiedBy>liujb114</cp:lastModifiedBy>
  <cp:revision>13</cp:revision>
  <dcterms:created xsi:type="dcterms:W3CDTF">2020-02-18T06:18:00Z</dcterms:created>
  <dcterms:modified xsi:type="dcterms:W3CDTF">2020-03-20T03:28:00Z</dcterms:modified>
</cp:coreProperties>
</file>