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Arial" w:eastAsia="微软雅黑" w:hAnsi="Arial"/>
          <w:b/>
          <w:bCs/>
          <w:sz w:val="32"/>
          <w:szCs w:val="32"/>
        </w:rPr>
        <w:t xml:space="preserve">Chordnote（和弦）· 作品介绍文档</w:t>
      </w:r>
    </w:p>
    <w:p>
      <w:pPr>
        <w:spacing w:after="30"/>
        <w:jc w:val="center"/>
      </w:pPr>
      <w:r>
        <w:rPr>
          <w:rFonts w:ascii="Arial" w:eastAsia="微软雅黑" w:hAnsi="Arial"/>
          <w:color w:val="444444"/>
          <w:sz w:val="20"/>
          <w:szCs w:val="20"/>
        </w:rPr>
        <w:t xml:space="preserve">面向大学生的生长式 AI 知识库</w:t>
      </w:r>
    </w:p>
    <w:p>
      <w:pPr>
        <w:spacing w:after="160"/>
        <w:jc w:val="center"/>
      </w:pPr>
      <w:r>
        <w:rPr>
          <w:rFonts w:ascii="Times New Roman" w:eastAsia="宋体" w:hAnsi="Times New Roman"/>
          <w:i/>
          <w:iCs/>
          <w:color w:val="666666"/>
          <w:sz w:val="18"/>
          <w:szCs w:val="18"/>
        </w:rPr>
        <w:t xml:space="preserve">一条笔记是音符，连起来才是和弦。</w:t>
      </w:r>
    </w:p>
    <w:p>
      <w:pPr>
        <w:pStyle w:val="Heading1"/>
        <w:spacing w:after="80" w:before="170"/>
      </w:pPr>
      <w:r>
        <w:rPr>
          <w:rFonts w:ascii="Arial" w:eastAsia="微软雅黑" w:hAnsi="Arial"/>
          <w:b/>
          <w:bCs/>
          <w:color w:val="1A1A1A"/>
          <w:sz w:val="25"/>
          <w:szCs w:val="25"/>
        </w:rPr>
        <w:t xml:space="preserve">一、作品做什么</w:t>
      </w:r>
    </w:p>
    <w:p>
      <w:pPr>
        <w:spacing w:after="90" w:before="0" w:line="260"/>
      </w:pPr>
      <w:r>
        <w:rPr>
          <w:rFonts w:ascii="Times New Roman" w:eastAsia="宋体" w:hAnsi="Times New Roman"/>
          <w:sz w:val="21"/>
          <w:szCs w:val="21"/>
        </w:rPr>
        <w:t xml:space="preserve">Chordnote 是一款面向大学生的生长式 AI 知识库。它要解决的不是“替你写更多笔记”，而是让每一次学习都留下下一次复习用得上的连接。</w:t>
      </w:r>
    </w:p>
    <w:p>
      <w:pPr>
        <w:spacing w:after="90" w:before="0" w:line="260"/>
      </w:pPr>
      <w:r>
        <w:rPr>
          <w:rFonts w:ascii="Times New Roman" w:eastAsia="宋体" w:hAnsi="Times New Roman"/>
          <w:sz w:val="21"/>
          <w:szCs w:val="21"/>
        </w:rPr>
        <w:t xml:space="preserve">困境有四层：碎片笔记越积越多，概念之间的底层联系却始终模糊；手工打标签、做交叉引用负担沉重，往往半途而废；通用 AI 缺少针对个人知识库的情境理解，输出难以直接用；而错题只停留在题目本身，做题经验无法反哺知识体系。</w:t>
      </w:r>
    </w:p>
    <w:p>
      <w:pPr>
        <w:spacing w:after="90" w:before="0" w:line="260"/>
      </w:pPr>
      <w:r>
        <w:rPr>
          <w:rFonts w:ascii="Times New Roman" w:eastAsia="宋体" w:hAnsi="Times New Roman"/>
          <w:sz w:val="20"/>
          <w:szCs w:val="20"/>
        </w:rPr>
        <w:t xml:space="preserve">Chordnote 的主张是一句话：</w:t>
      </w:r>
      <w:r>
        <w:rPr>
          <w:rFonts w:ascii="Times New Roman" w:eastAsia="宋体" w:hAnsi="Times New Roman"/>
          <w:b/>
          <w:bCs/>
          <w:sz w:val="20"/>
          <w:szCs w:val="20"/>
        </w:rPr>
        <w:t xml:space="preserve">AI 负责提出结构，学生负责决定什么值得成为自己的知识。</w:t>
      </w:r>
    </w:p>
    <w:p>
      <w:pPr>
        <w:spacing w:after="90" w:before="0" w:line="260"/>
      </w:pPr>
      <w:r>
        <w:rPr>
          <w:rFonts w:ascii="Times New Roman" w:eastAsia="宋体" w:hAnsi="Times New Roman"/>
          <w:sz w:val="21"/>
          <w:szCs w:val="21"/>
        </w:rPr>
        <w:t xml:space="preserve">产品把学生的材料收成一条闭环：原始笔记 → AI 整理草稿 → 用户审阅确认 → 知识页 → 关联 → 知识网络。原始内容永不被 AI 覆盖；AI 的整理结果先停留在草稿，只有经确认的内容才进入知识网络。</w:t>
      </w:r>
    </w:p>
    <w:p>
      <w:pPr>
        <w:pStyle w:val="Heading1"/>
        <w:spacing w:after="80" w:before="170"/>
      </w:pPr>
      <w:r>
        <w:rPr>
          <w:rFonts w:ascii="Arial" w:eastAsia="微软雅黑" w:hAnsi="Arial"/>
          <w:b/>
          <w:bCs/>
          <w:color w:val="1A1A1A"/>
          <w:sz w:val="25"/>
          <w:szCs w:val="25"/>
        </w:rPr>
        <w:t xml:space="preserve">二、创新在哪里</w:t>
      </w:r>
    </w:p>
    <w:p>
      <w:pPr>
        <w:spacing w:after="90" w:before="0" w:line="260"/>
      </w:pPr>
      <w:r>
        <w:rPr>
          <w:rFonts w:ascii="Times New Roman" w:eastAsia="宋体" w:hAnsi="Times New Roman"/>
          <w:b/>
          <w:bCs/>
          <w:sz w:val="20"/>
          <w:szCs w:val="20"/>
        </w:rPr>
        <w:t xml:space="preserve">一、约束写在架构里，不是写在提示词里。</w:t>
      </w:r>
      <w:r>
        <w:rPr>
          <w:rFonts w:ascii="Times New Roman" w:eastAsia="宋体" w:hAnsi="Times New Roman"/>
          <w:sz w:val="20"/>
          <w:szCs w:val="20"/>
        </w:rPr>
        <w:t xml:space="preserve">常见做法是用提示词求模型“请不要修改原文”，但那是祈使句，可以被绕过、被误读。Chordnote 让 agent 根本没有那个工具：写意图只能降级为提议，越权的调用在服务层就被拒绝。未授权的工具（</w:t>
      </w:r>
      <w:r>
        <w:rPr>
          <w:rFonts w:ascii="Consolas" w:eastAsia="宋体" w:hAnsi="Consolas"/>
          <w:sz w:val="20"/>
          <w:szCs w:val="20"/>
        </w:rPr>
        <w:t xml:space="preserve">create_note</w:t>
      </w:r>
      <w:r>
        <w:rPr>
          <w:rFonts w:ascii="Times New Roman" w:eastAsia="宋体" w:hAnsi="Times New Roman"/>
          <w:sz w:val="20"/>
          <w:szCs w:val="20"/>
        </w:rPr>
        <w:t xml:space="preserve">、</w:t>
      </w:r>
      <w:r>
        <w:rPr>
          <w:rFonts w:ascii="Consolas" w:eastAsia="宋体" w:hAnsi="Consolas"/>
          <w:sz w:val="20"/>
          <w:szCs w:val="20"/>
        </w:rPr>
        <w:t xml:space="preserve">update_note</w:t>
      </w:r>
      <w:r>
        <w:rPr>
          <w:rFonts w:ascii="Times New Roman" w:eastAsia="宋体" w:hAnsi="Times New Roman"/>
          <w:sz w:val="20"/>
          <w:szCs w:val="20"/>
        </w:rPr>
        <w:t xml:space="preserve">）根本不会出现在交给模型的工具清单中——这一点有断言验证，不是靠模型自觉。</w:t>
      </w:r>
    </w:p>
    <w:p>
      <w:pPr>
        <w:spacing w:after="90" w:before="0" w:line="260"/>
      </w:pPr>
      <w:r>
        <w:rPr>
          <w:rFonts w:ascii="Times New Roman" w:eastAsia="宋体" w:hAnsi="Times New Roman"/>
          <w:b/>
          <w:bCs/>
          <w:sz w:val="20"/>
          <w:szCs w:val="20"/>
        </w:rPr>
        <w:t xml:space="preserve">二、错题与知识页共用一套数据模型，于是「知识盲区地图」才可能存在。</w:t>
      </w:r>
      <w:r>
        <w:rPr>
          <w:rFonts w:ascii="Times New Roman" w:eastAsia="宋体" w:hAnsi="Times New Roman"/>
          <w:sz w:val="20"/>
          <w:szCs w:val="20"/>
        </w:rPr>
        <w:t xml:space="preserve">错题以原始记录的形式存在、并通过关联指向它考查的知识页，所以“每条知识页被多少条错题指向”这个数字才算得出来，反复出错的知识点因而在知识网络上被放大、一眼可见。Obsidian 结构上做不到（它没有做题数据），错题本类应用也做不到（它没有知识图谱）——只有两者处在同一个数据模型里，这个能力才存在。（错题回流与知识盲区地图当前处于规划阶段，尚未实现；此处说明的是它为什么在我们的数据模型里成立、在别处不成立。）</w:t>
      </w:r>
    </w:p>
    <w:p>
      <w:pPr>
        <w:spacing w:after="90" w:before="0" w:line="260"/>
      </w:pPr>
      <w:r>
        <w:rPr>
          <w:rFonts w:ascii="Times New Roman" w:eastAsia="宋体" w:hAnsi="Times New Roman"/>
          <w:b/>
          <w:bCs/>
          <w:sz w:val="20"/>
          <w:szCs w:val="20"/>
        </w:rPr>
        <w:t xml:space="preserve">三、所有接入的 agent 共用同一份工作手册。</w:t>
      </w:r>
      <w:r>
        <w:rPr>
          <w:rFonts w:ascii="Times New Roman" w:eastAsia="宋体" w:hAnsi="Times New Roman"/>
          <w:sz w:val="20"/>
          <w:szCs w:val="20"/>
        </w:rPr>
        <w:t xml:space="preserve">手册里写的不是风格指南，而是权限边界；它同时是交给模型的系统提示词，也是界面上可查的工具授权清单。换句话说：别人的 AI 行为取决于你用了哪个模型，我们的不取决于。</w:t>
      </w:r>
    </w:p>
    <w:p>
      <w:pPr>
        <w:pStyle w:val="Heading1"/>
        <w:spacing w:after="80" w:before="170"/>
      </w:pPr>
      <w:r>
        <w:rPr>
          <w:rFonts w:ascii="Arial" w:eastAsia="微软雅黑" w:hAnsi="Arial"/>
          <w:b/>
          <w:bCs/>
          <w:color w:val="1A1A1A"/>
          <w:sz w:val="25"/>
          <w:szCs w:val="25"/>
        </w:rPr>
        <w:t xml:space="preserve">三、如何实现</w:t>
      </w:r>
    </w:p>
    <w:p>
      <w:pPr>
        <w:spacing w:after="90" w:before="0" w:line="260"/>
      </w:pPr>
      <w:r>
        <w:rPr>
          <w:rFonts w:ascii="Times New Roman" w:eastAsia="宋体" w:hAnsi="Times New Roman"/>
          <w:sz w:val="21"/>
          <w:szCs w:val="21"/>
        </w:rPr>
        <w:t xml:space="preserve">知识网络采用力学计算与渲染分离的结构：d3-force 负责算位置，自绘 Canvas 负责画画面，不引入把布局、渲染与交互绑在一起的图谱组件库——因此力学收敛之后画面仍在流动（连线呼吸与沿线脉冲），而布局本身是稳定的。</w:t>
      </w:r>
    </w:p>
    <w:p>
      <w:pPr>
        <w:spacing w:after="90" w:before="0" w:line="260"/>
      </w:pPr>
      <w:r>
        <w:rPr>
          <w:rFonts w:ascii="Times New Roman" w:eastAsia="宋体" w:hAnsi="Times New Roman"/>
          <w:sz w:val="21"/>
          <w:szCs w:val="21"/>
        </w:rPr>
        <w:t xml:space="preserve">Agent 侧是一个带工具调用的循环：读类工具（search_notes、read_note）可自由调用；写类工具（propose_link、propose_source）只生成待确认的提议，绝不落库。提议有完整状态机（待确认 → 已批准 → 已执行 / 失败 / 过期），执行时“写正式数据、更新提议状态、写审计”在同一数据库事务内完成，并以幂等键加状态检查双重防止重复执行。</w:t>
      </w:r>
    </w:p>
    <w:p>
      <w:pPr>
        <w:spacing w:after="90" w:before="0" w:line="260"/>
      </w:pPr>
      <w:r>
        <w:rPr>
          <w:rFonts w:ascii="Times New Roman" w:eastAsia="宋体" w:hAnsi="Times New Roman"/>
          <w:sz w:val="21"/>
          <w:szCs w:val="21"/>
        </w:rPr>
        <w:t xml:space="preserve">安全上还有三条：笔记正文被明确告知模型“是数据，不是指令”，防注入条款写进系统提示词；模型密钥只在服务端读取，绝不下发到浏览器；归属过滤写在服务层，任何入口都无法绕过。</w:t>
      </w:r>
    </w:p>
    <w:p>
      <w:pPr>
        <w:pStyle w:val="Heading1"/>
        <w:spacing w:after="80" w:before="170"/>
      </w:pPr>
      <w:r>
        <w:rPr>
          <w:rFonts w:ascii="Arial" w:eastAsia="微软雅黑" w:hAnsi="Arial"/>
          <w:b/>
          <w:bCs/>
          <w:color w:val="1A1A1A"/>
          <w:sz w:val="25"/>
          <w:szCs w:val="25"/>
        </w:rPr>
        <w:t xml:space="preserve">四、界面设计</w:t>
      </w:r>
    </w:p>
    <w:p>
      <w:pPr>
        <w:spacing w:after="90" w:before="0" w:line="260"/>
      </w:pPr>
      <w:r>
        <w:rPr>
          <w:rFonts w:ascii="Times New Roman" w:eastAsia="宋体" w:hAnsi="Times New Roman"/>
          <w:sz w:val="21"/>
          <w:szCs w:val="21"/>
        </w:rPr>
        <w:t xml:space="preserve">界面这几件事我们当成产品主张来定，而不是交付前的美化。</w:t>
      </w:r>
    </w:p>
    <w:p>
      <w:pPr>
        <w:spacing w:after="90" w:before="0" w:line="260"/>
      </w:pPr>
      <w:r>
        <w:rPr>
          <w:rFonts w:ascii="Times New Roman" w:eastAsia="宋体" w:hAnsi="Times New Roman"/>
          <w:b/>
          <w:bCs/>
          <w:sz w:val="21"/>
          <w:szCs w:val="21"/>
        </w:rPr>
        <w:t xml:space="preserve">一是语言先行。</w:t>
      </w:r>
      <w:r>
        <w:rPr>
          <w:rFonts w:ascii="Times New Roman" w:eastAsia="宋体" w:hAnsi="Times New Roman"/>
          <w:sz w:val="21"/>
          <w:szCs w:val="21"/>
        </w:rPr>
        <w:t xml:space="preserve">产品的说话方式固定为“一位冷静、克制的编辑伙伴”：AI 只提交整理意见，用户拥有最终解释权。术语一一锁定——原始记录、整理稿、知识页、知识关联、知识网络、编辑助理；整理结果在确认前一律称“提议”、状态写作“尚未收录”，界面里不出现“生成完成”“一键完成”这类替用户下结论的说法。失败文案按“发生了什么 + 数据是否安全 + 下一步动作”书写，例如：“整理稿暂时没有提出。原始记录仍然安全，请稍后重试。”</w:t>
      </w:r>
    </w:p>
    <w:p>
      <w:pPr>
        <w:spacing w:after="90" w:before="0" w:line="260"/>
      </w:pPr>
      <w:r>
        <w:rPr>
          <w:rFonts w:ascii="Times New Roman" w:eastAsia="宋体" w:hAnsi="Times New Roman"/>
          <w:b/>
          <w:bCs/>
          <w:sz w:val="21"/>
          <w:szCs w:val="21"/>
        </w:rPr>
        <w:t xml:space="preserve">二是结构与视觉一起定。</w:t>
      </w:r>
      <w:r>
        <w:rPr>
          <w:rFonts w:ascii="Times New Roman" w:eastAsia="宋体" w:hAnsi="Times New Roman"/>
          <w:sz w:val="21"/>
          <w:szCs w:val="21"/>
        </w:rPr>
        <w:t xml:space="preserve">右栏不是聊天框，而是跟随当前标签的上下文面板——入链、出链、未链接提及、编辑助理四块，AI 只是其中一块，和“谁引用了我”属于同一类信息。我们不给 AI 做专属视觉语言，也不给它占满整栏的位置：占满一整栏的聊天框会把产品变成聊天机器人。视觉上刻意避开 AI 产品的常见捷径——不用霓虹发光、不放机器人插画、不做大面积玻璃拟态与光晕；AI 的能力靠结果说话，不靠标签。</w:t>
      </w:r>
    </w:p>
    <w:p>
      <w:pPr>
        <w:spacing w:after="90" w:before="0" w:line="260"/>
      </w:pPr>
      <w:r>
        <w:rPr>
          <w:rFonts w:ascii="Times New Roman" w:eastAsia="宋体" w:hAnsi="Times New Roman"/>
          <w:b/>
          <w:bCs/>
          <w:sz w:val="21"/>
          <w:szCs w:val="21"/>
        </w:rPr>
        <w:t xml:space="preserve">三是排版与动效以长文阅读为准。</w:t>
      </w:r>
      <w:r>
        <w:rPr>
          <w:rFonts w:ascii="Times New Roman" w:eastAsia="宋体" w:hAnsi="Times New Roman"/>
          <w:sz w:val="21"/>
          <w:szCs w:val="21"/>
        </w:rPr>
        <w:t xml:space="preserve">三套主题可切换：暗室星图（深色低眩光，适合夜间推导）、暖纸批注（亚麻纸底与衬线排版，适合长文阅读）、实验工坊（工程网格与高对比信号，适合集中整理），全部通过 CSS 变量与根元素属性切换，不加载第二套样式表。正文行高 1.9、行宽上限 700px，窗口变宽时增加留白而不是拉长行宽，间距一律取 4 的倍数。动效只用缓出曲线、200–260 毫秒，不弹跳不缩放，并在系统的“减少动态效果”下整体停掉；界面声音由 Web Audio 实时合成，不加载音频文件。</w:t>
      </w:r>
    </w:p>
    <w:p>
      <w:pPr>
        <w:spacing w:after="90" w:before="0" w:line="260"/>
      </w:pPr>
      <w:r>
        <w:rPr>
          <w:rFonts w:ascii="Times New Roman" w:eastAsia="宋体" w:hAnsi="Times New Roman"/>
          <w:b/>
          <w:bCs/>
          <w:sz w:val="21"/>
          <w:szCs w:val="21"/>
        </w:rPr>
        <w:t xml:space="preserve">四是窄屏不是缩小版。</w:t>
      </w:r>
      <w:r>
        <w:rPr>
          <w:rFonts w:ascii="Times New Roman" w:eastAsia="宋体" w:hAnsi="Times New Roman"/>
          <w:sz w:val="21"/>
          <w:szCs w:val="21"/>
        </w:rPr>
        <w:t xml:space="preserve">宽屏三栏常驻；中窄屏左栏折叠成“一个功能一个图标”的图标条；再窄时右栏退化为可开合的抽屉，而不是直接消失——因为它承载的入链、出链、未链接提及与编辑助理四块，本身就是产品主张。</w:t>
      </w:r>
    </w:p>
    <w:p>
      <w:pPr>
        <w:pStyle w:val="Heading1"/>
        <w:spacing w:after="80" w:before="170"/>
      </w:pPr>
      <w:r>
        <w:rPr>
          <w:rFonts w:ascii="Arial" w:eastAsia="微软雅黑" w:hAnsi="Arial"/>
          <w:b/>
          <w:bCs/>
          <w:color w:val="1A1A1A"/>
          <w:sz w:val="25"/>
          <w:szCs w:val="25"/>
        </w:rPr>
        <w:t xml:space="preserve">五、完成到什么程度（截至 2026 年 10 月 17 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0"/>
        <w:gridCol w:w="7786"/>
      </w:tblGrid>
      <w:tr>
        <w:tc>
          <w:tcPr>
            <w:tcW w:type="dxa" w:w="1240"/>
            <w:shd w:fill="EEF2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Arial" w:eastAsia="微软雅黑" w:hAnsi="Arial"/>
                <w:b/>
                <w:bCs/>
                <w:sz w:val="19"/>
                <w:szCs w:val="19"/>
              </w:rPr>
              <w:t xml:space="preserve">已完成</w:t>
            </w:r>
          </w:p>
        </w:tc>
        <w:tc>
          <w:tcPr>
            <w:tcW w:type="dxa" w:w="7786"/>
            <w:shd w:fill="EEF2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Times New Roman" w:eastAsia="宋体" w:hAnsi="Times New Roman"/>
                <w:sz w:val="19"/>
                <w:szCs w:val="19"/>
              </w:rPr>
              <w:t xml:space="preserve">主链路已完整跑通并可用：原始记录管理（修改留有审计修订）、AI 整理草稿、审阅入库、知识页编辑、力导向知识网络、反链与关联建立、Agent 工具调用循环与轨迹、提议服务层与接口、Agent 工作手册、三套视觉主题、知识包导出（JSON 完整快照与 Markdown 包，可再导入回来），以及数据库层（迁移 / 归属隔离 / 回归测试）。</w:t>
            </w:r>
          </w:p>
        </w:tc>
      </w:tr>
      <w:tr>
        <w:tc>
          <w:tcPr>
            <w:tcW w:type="dxa" w:w="1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Arial" w:eastAsia="微软雅黑" w:hAnsi="Arial"/>
                <w:b/>
                <w:bCs/>
                <w:sz w:val="19"/>
                <w:szCs w:val="19"/>
              </w:rPr>
              <w:t xml:space="preserve">进行中</w:t>
            </w:r>
          </w:p>
        </w:tc>
        <w:tc>
          <w:tcPr>
            <w:tcW w:type="dxa" w:w="77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Times New Roman" w:eastAsia="宋体" w:hAnsi="Times New Roman"/>
                <w:sz w:val="19"/>
                <w:szCs w:val="19"/>
              </w:rPr>
              <w:t xml:space="preserve">知识盲区地图的统计与图谱放大；正文双链语法识别。</w:t>
            </w:r>
          </w:p>
        </w:tc>
      </w:tr>
      <w:tr>
        <w:tc>
          <w:tcPr>
            <w:tcW w:type="dxa" w:w="1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Arial" w:eastAsia="微软雅黑" w:hAnsi="Arial"/>
                <w:b/>
                <w:bCs/>
                <w:sz w:val="19"/>
                <w:szCs w:val="19"/>
              </w:rPr>
              <w:t xml:space="preserve">规划中</w:t>
            </w:r>
          </w:p>
        </w:tc>
        <w:tc>
          <w:tcPr>
            <w:tcW w:type="dxa" w:w="77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Times New Roman" w:eastAsia="宋体" w:hAnsi="Times New Roman"/>
                <w:sz w:val="19"/>
                <w:szCs w:val="19"/>
              </w:rPr>
              <w:t xml:space="preserve">连接检验式复习（考知识页之间的关联，而非单个节点）；OCR 图片转 Markdown 与网页剪藏；多模型接入。</w:t>
            </w:r>
          </w:p>
        </w:tc>
      </w:tr>
    </w:tbl>
    <w:p>
      <w:pPr>
        <w:pStyle w:val="Heading1"/>
        <w:spacing w:after="80" w:before="170"/>
      </w:pPr>
      <w:r>
        <w:rPr>
          <w:rFonts w:ascii="Arial" w:eastAsia="微软雅黑" w:hAnsi="Arial"/>
          <w:b/>
          <w:bCs/>
          <w:color w:val="1A1A1A"/>
          <w:sz w:val="25"/>
          <w:szCs w:val="25"/>
        </w:rPr>
        <w:t xml:space="preserve">六、学生实际做了什么</w:t>
      </w:r>
    </w:p>
    <w:p>
      <w:pPr>
        <w:spacing w:after="90" w:before="0" w:line="260"/>
      </w:pPr>
      <w:r>
        <w:rPr>
          <w:rFonts w:ascii="Times New Roman" w:eastAsia="宋体" w:hAnsi="Times New Roman"/>
          <w:sz w:val="21"/>
          <w:szCs w:val="21"/>
        </w:rPr>
        <w:t xml:space="preserve">作品按三条工作线推进，每条线各自负责设计、实现与验证：</w:t>
      </w:r>
    </w:p>
    <w:p>
      <w:pPr>
        <w:spacing w:after="90" w:before="0" w:line="260"/>
      </w:pPr>
      <w:r>
        <w:rPr>
          <w:rFonts w:ascii="Times New Roman" w:eastAsia="宋体" w:hAnsi="Times New Roman"/>
          <w:b/>
          <w:bCs/>
          <w:sz w:val="20"/>
          <w:szCs w:val="20"/>
        </w:rPr>
        <w:t xml:space="preserve">知识库与图谱线：</w:t>
      </w:r>
      <w:r>
        <w:rPr>
          <w:rFonts w:ascii="Times New Roman" w:eastAsia="宋体" w:hAnsi="Times New Roman"/>
          <w:sz w:val="20"/>
          <w:szCs w:val="20"/>
        </w:rPr>
        <w:t xml:space="preserve">数据模型与迁移设计、服务层与接口、力导向知识网络的力学计算与 Canvas 渲染、反链与关联建立。　成员：______</w:t>
      </w:r>
    </w:p>
    <w:p>
      <w:pPr>
        <w:spacing w:after="90" w:before="0" w:line="260"/>
      </w:pPr>
      <w:r>
        <w:rPr>
          <w:rFonts w:ascii="Times New Roman" w:eastAsia="宋体" w:hAnsi="Times New Roman"/>
          <w:b/>
          <w:bCs/>
          <w:sz w:val="20"/>
          <w:szCs w:val="20"/>
        </w:rPr>
        <w:t xml:space="preserve">界面线：</w:t>
      </w:r>
      <w:r>
        <w:rPr>
          <w:rFonts w:ascii="Times New Roman" w:eastAsia="宋体" w:hAnsi="Times New Roman"/>
          <w:sz w:val="20"/>
          <w:szCs w:val="20"/>
        </w:rPr>
        <w:t xml:space="preserve">三套主题的令牌与切换、工作台三屏结构、设置面板与拖拽缩放等交互。　成员：______</w:t>
      </w:r>
    </w:p>
    <w:p>
      <w:pPr>
        <w:spacing w:after="90" w:before="0" w:line="260"/>
      </w:pPr>
      <w:r>
        <w:rPr>
          <w:rFonts w:ascii="Times New Roman" w:eastAsia="宋体" w:hAnsi="Times New Roman"/>
          <w:b/>
          <w:bCs/>
          <w:sz w:val="20"/>
          <w:szCs w:val="20"/>
        </w:rPr>
        <w:t xml:space="preserve">Agent 与插件线：</w:t>
      </w:r>
      <w:r>
        <w:rPr>
          <w:rFonts w:ascii="Times New Roman" w:eastAsia="宋体" w:hAnsi="Times New Roman"/>
          <w:sz w:val="20"/>
          <w:szCs w:val="20"/>
        </w:rPr>
        <w:t xml:space="preserve">工作手册、工具调用循环、提议服务层与状态机、轨迹可视化，以及防注入与权限边界的验证。　成员：______</w:t>
      </w:r>
    </w:p>
    <w:p>
      <w:pPr>
        <w:spacing w:after="90" w:before="0" w:line="260"/>
      </w:pPr>
      <w:r>
        <w:rPr>
          <w:rFonts w:ascii="Times New Roman" w:eastAsia="宋体" w:hAnsi="Times New Roman"/>
          <w:sz w:val="21"/>
          <w:szCs w:val="21"/>
        </w:rPr>
        <w:t xml:space="preserve">三条工作线的边界与接口契约由团队预先约定，因此可以并行推进；产品方向、架构约束与验收标准由团队确定。代码实现与文档整理使用了 AI 编程工具辅助。</w:t>
      </w:r>
    </w:p>
    <w:p>
      <w:pPr>
        <w:pStyle w:val="Heading1"/>
        <w:spacing w:after="80" w:before="170"/>
      </w:pPr>
      <w:r>
        <w:rPr>
          <w:rFonts w:ascii="Arial" w:eastAsia="微软雅黑" w:hAnsi="Arial"/>
          <w:b/>
          <w:bCs/>
          <w:color w:val="1A1A1A"/>
          <w:sz w:val="25"/>
          <w:szCs w:val="25"/>
        </w:rPr>
        <w:t xml:space="preserve">七、应用价值</w:t>
      </w:r>
    </w:p>
    <w:p>
      <w:pPr>
        <w:spacing w:after="90" w:before="0" w:line="260"/>
      </w:pPr>
      <w:r>
        <w:rPr>
          <w:rFonts w:ascii="Times New Roman" w:eastAsia="宋体" w:hAnsi="Times New Roman"/>
          <w:sz w:val="21"/>
          <w:szCs w:val="21"/>
        </w:rPr>
        <w:t xml:space="preserve">对学生而言：把“手工建链接”这件最容易被放弃的事，变成 AI 提议、自己一键确认；错题回流落地后，错题将不再孤立地躺在错题本里，而是挂到它考查的知识点上，复习时哪里反复错、知识网络上一眼看得见。</w:t>
      </w:r>
    </w:p>
    <w:p>
      <w:pPr>
        <w:spacing w:after="90" w:before="0" w:line="260"/>
      </w:pPr>
      <w:r>
        <w:rPr>
          <w:rFonts w:ascii="Times New Roman" w:eastAsia="宋体" w:hAnsi="Times New Roman"/>
          <w:sz w:val="21"/>
          <w:szCs w:val="21"/>
        </w:rPr>
        <w:t xml:space="preserve">对同类产品而言：本作品验证了一条可复用的路径——AI 要写入用户数据时，把约束做进架构而不是提示词。这套“提议—确认—执行”机制连同配套的状态机、审计与幂等设计，可以搬到任何“AI 不应直接改写用户内容”的产品里。</w:t>
      </w:r>
    </w:p>
    <w:p>
      <w:pPr>
        <w:pBdr>
          <w:top w:val="single" w:color="BBBBBB" w:sz="4" w:space="8"/>
        </w:pBdr>
        <w:spacing w:after="0" w:before="200"/>
      </w:pPr>
      <w:r>
        <w:rPr>
          <w:rFonts w:ascii="Times New Roman" w:eastAsia="宋体" w:hAnsi="Times New Roman"/>
          <w:color w:val="666666"/>
          <w:sz w:val="17"/>
          <w:szCs w:val="17"/>
        </w:rPr>
        <w:t xml:space="preserve">界面预览 deliverables/Chordnote-界面预览.html（离线打开即可看）　·　代码仓库 github.com/3331060032guoyichen-oss/ai-notes_demo　·　MIT 许可</w:t>
      </w:r>
    </w:p>
    <w:sectPr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2026-10-16T19:25:24.385Z</dcterms:created>
  <dcterms:modified xsi:type="dcterms:W3CDTF">2026-10-16T19:25:24.390Z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