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Chordnote · 和弦</w:t>
      </w:r>
    </w:p>
    <w:p>
      <w:pPr>
        <w:pStyle w:val="Subtitle"/>
      </w:pPr>
      <w:r>
        <w:t xml:space="preserve">项目计划与产品概念书</w:t>
      </w:r>
    </w:p>
    <w:p>
      <w:pPr>
        <w:pStyle w:val="Heading1"/>
      </w:pPr>
      <w:bookmarkStart w:id="20" w:name="一产品概览与定位"/>
      <w:r>
        <w:t xml:space="preserve">一、产品概览与定位</w:t>
      </w:r>
      <w:bookmarkEnd w:id="20"/>
    </w:p>
    <w:p>
      <w:pPr>
        <w:pStyle w:val="FirstParagraph"/>
      </w:pPr>
      <w:r>
        <w:rPr>
          <w:b/>
        </w:rPr>
        <w:t xml:space="preserve">应用名称</w:t>
      </w:r>
      <w:r>
        <w:t xml:space="preserve">：Chordnote（和弦）</w:t>
      </w:r>
    </w:p>
    <w:p>
      <w:pPr>
        <w:pStyle w:val="BodyText"/>
      </w:pPr>
      <w:r>
        <w:rPr>
          <w:b/>
        </w:rPr>
        <w:t xml:space="preserve">应用定位</w:t>
      </w:r>
      <w:r>
        <w:t xml:space="preserve">：面向高校学子的生长式 AI 知识库与思考系统。</w:t>
      </w:r>
    </w:p>
    <w:p>
      <w:pPr>
        <w:pStyle w:val="BodyText"/>
      </w:pPr>
      <w:r>
        <w:t xml:space="preserve">一条笔记是音符，连起来才是和弦。Chordnote 的核心使命是打破传统笔记“只存不连”与通用 AI “无记忆、易幻觉”的瓶颈，让 AI 扮演“知识架构师”——帮助大学生将零散的学习记录升维为贯穿大学四年的体系化知识网络。</w:t>
      </w:r>
    </w:p>
    <w:p>
      <w:pPr>
        <w:pStyle w:val="BodyText"/>
      </w:pPr>
      <w:r>
        <w:rPr>
          <w:b/>
        </w:rPr>
        <w:t xml:space="preserve">产品原则</w:t>
      </w:r>
      <w:r>
        <w:t xml:space="preserve">：AI 只负责提议，写入知识网络前必须经过用户确认。知识库里的每一条连接，都是学生自己拍板的。</w:t>
      </w:r>
    </w:p>
    <w:p>
      <w:pPr>
        <w:pStyle w:val="Heading1"/>
      </w:pPr>
      <w:bookmarkStart w:id="21" w:name="二核心痛点"/>
      <w:r>
        <w:t xml:space="preserve">二、核心痛点</w:t>
      </w:r>
      <w:bookmarkEnd w:id="21"/>
    </w:p>
    <w:p>
      <w:pPr>
        <w:pStyle w:val="FirstParagraph"/>
      </w:pPr>
      <w:r>
        <w:t xml:space="preserve">我们观察到大学生在知识管理上面临以下四方面困境：</w:t>
      </w:r>
    </w:p>
    <w:p>
      <w:pPr>
        <w:numPr>
          <w:ilvl w:val="0"/>
          <w:numId w:val="1001"/>
        </w:numPr>
      </w:pPr>
      <w:r>
        <w:rPr>
          <w:b/>
        </w:rPr>
        <w:t xml:space="preserve">知识孤岛化</w:t>
      </w:r>
      <w:r>
        <w:t xml:space="preserve">。课堂、教材、习题与日常思考积累了大量碎片化笔记，但概念与学科之间的底层联系模糊，难以融会贯通。</w:t>
      </w:r>
    </w:p>
    <w:p>
      <w:pPr>
        <w:numPr>
          <w:ilvl w:val="0"/>
          <w:numId w:val="1001"/>
        </w:numPr>
      </w:pPr>
      <w:r>
        <w:rPr>
          <w:b/>
        </w:rPr>
        <w:t xml:space="preserve">整理负担沉重</w:t>
      </w:r>
      <w:r>
        <w:t xml:space="preserve">。传统电子笔记依赖手动打标签、建目录、做交叉引用，耗时耗力，往往半途而废。</w:t>
      </w:r>
    </w:p>
    <w:p>
      <w:pPr>
        <w:numPr>
          <w:ilvl w:val="0"/>
          <w:numId w:val="1001"/>
        </w:numPr>
      </w:pPr>
      <w:r>
        <w:rPr>
          <w:b/>
        </w:rPr>
        <w:t xml:space="preserve">通用 AI 缺乏长效记忆与情境理解</w:t>
      </w:r>
      <w:r>
        <w:t xml:space="preserve">。现有通用 AI 缺少针对个人知识库的架构设计，既容易产生学术“幻觉”，输出也难以直接使用。</w:t>
      </w:r>
    </w:p>
    <w:p>
      <w:pPr>
        <w:numPr>
          <w:ilvl w:val="0"/>
          <w:numId w:val="1001"/>
        </w:numPr>
      </w:pPr>
      <w:r>
        <w:rPr>
          <w:b/>
        </w:rPr>
        <w:t xml:space="preserve">做题经验无法沉淀到知识库</w:t>
      </w:r>
      <w:r>
        <w:t xml:space="preserve">。大量错题和习题只停留在题目本身，没有机制把“这道题考查了哪些概念”反哺到知识网络里。</w:t>
      </w:r>
    </w:p>
    <w:p>
      <w:pPr>
        <w:pStyle w:val="Heading1"/>
      </w:pPr>
      <w:bookmarkStart w:id="22" w:name="三核心创意与设计源泉"/>
      <w:r>
        <w:t xml:space="preserve">三、核心创意与设计源泉</w:t>
      </w:r>
      <w:bookmarkEnd w:id="22"/>
    </w:p>
    <w:p>
      <w:pPr>
        <w:pStyle w:val="Heading2"/>
      </w:pPr>
      <w:bookmarkStart w:id="23" w:name="借鉴与改造"/>
      <w:r>
        <w:t xml:space="preserve">借鉴与改造</w:t>
      </w:r>
      <w:bookmarkEnd w:id="23"/>
    </w:p>
    <w:p>
      <w:pPr>
        <w:numPr>
          <w:ilvl w:val="0"/>
          <w:numId w:val="1002"/>
        </w:numPr>
      </w:pPr>
      <w:r>
        <w:rPr>
          <w:b/>
        </w:rPr>
        <w:t xml:space="preserve">LLM Wiki 架构</w:t>
      </w:r>
      <w:r>
        <w:t xml:space="preserve">。借鉴 Andrej Karpathy 提出的“用 LLM 维护一个可不断更新、自洽的知识库”理念。Chordnote 的 agent 持有一份执行手册，规定它只能提议、不能擅改；新内容加入时，agent 提示是否更新旧概念的上下文。</w:t>
      </w:r>
    </w:p>
    <w:p>
      <w:pPr>
        <w:numPr>
          <w:ilvl w:val="0"/>
          <w:numId w:val="1002"/>
        </w:numPr>
      </w:pPr>
      <w:r>
        <w:rPr>
          <w:b/>
        </w:rPr>
        <w:t xml:space="preserve">Obsidian 的双链与图谱精神</w:t>
      </w:r>
      <w:r>
        <w:t xml:space="preserve">。保留双向链接（Backlinks）与网状图谱的核心，但砍掉陡峭的学习曲线，降低门槛。</w:t>
      </w:r>
    </w:p>
    <w:p>
      <w:pPr>
        <w:pStyle w:val="Heading2"/>
      </w:pPr>
      <w:bookmarkStart w:id="24" w:name="我们与用-ai-记笔记的分界agent-有工作手册不靠提示词"/>
      <w:r>
        <w:t xml:space="preserve">我们与“用 AI 记笔记”的分界：agent 有工作手册，不靠提示词</w:t>
      </w:r>
      <w:bookmarkEnd w:id="24"/>
    </w:p>
    <w:p>
      <w:pPr>
        <w:pStyle w:val="FirstParagraph"/>
      </w:pPr>
      <w:r>
        <w:t xml:space="preserve">现在几乎每个笔记软件都在塞 AI。所以“我们有 AI 帮你整理”没有任何区分度。</w:t>
      </w:r>
    </w:p>
    <w:p>
      <w:pPr>
        <w:pStyle w:val="BodyText"/>
      </w:pPr>
      <w:r>
        <w:t xml:space="preserve">真正的分界在这句话上：</w:t>
      </w:r>
      <w:r>
        <w:rPr>
          <w:b/>
        </w:rPr>
        <w:t xml:space="preserve">别人把 AI 当成一个更强的操作者，Chordnote 把它当成一个受约束的提议者。</w:t>
      </w:r>
    </w:p>
    <w:p>
      <w:pPr>
        <w:pStyle w:val="BodyText"/>
      </w:pPr>
      <w:r>
        <w:t xml:space="preserve">落到工程上，是一句更硬的话：</w:t>
      </w:r>
      <w:r>
        <w:rPr>
          <w:b/>
        </w:rPr>
        <w:t xml:space="preserve">约束写在架构里，不是写在提示词里。</w:t>
      </w:r>
    </w:p>
    <w:p>
      <w:pPr>
        <w:numPr>
          <w:ilvl w:val="0"/>
          <w:numId w:val="1003"/>
        </w:numPr>
        <w:pStyle w:val="Compact"/>
      </w:pPr>
      <w:r>
        <w:t xml:space="preserve">常见的做法是</w:t>
      </w:r>
      <w:r>
        <w:rPr>
          <w:b/>
        </w:rPr>
        <w:t xml:space="preserve">用提示词求它乖</w:t>
      </w:r>
      <w:r>
        <w:t xml:space="preserve">——“请不要修改原文”。这是祈使句，可以被绕过、被误读、被越狱。</w:t>
      </w:r>
    </w:p>
    <w:p>
      <w:pPr>
        <w:numPr>
          <w:ilvl w:val="0"/>
          <w:numId w:val="1003"/>
        </w:numPr>
        <w:pStyle w:val="Compact"/>
      </w:pPr>
      <w:r>
        <w:t xml:space="preserve">Chordnote 的做法是</w:t>
      </w:r>
      <w:r>
        <w:rPr>
          <w:b/>
        </w:rPr>
        <w:t xml:space="preserve">让它根本没有那个工具</w:t>
      </w:r>
      <w:r>
        <w:t xml:space="preserve">。写意图只能降级为提议；越权的调用在服务层就被拒绝。</w:t>
      </w:r>
    </w:p>
    <w:p>
      <w:pPr>
        <w:pStyle w:val="FirstParagraph"/>
      </w:pPr>
      <w:r>
        <w:t xml:space="preserve">三条可验证的承诺，以及它们当前的真实状态：</w:t>
      </w:r>
    </w:p>
    <w:tbl>
      <w:tblPr>
        <w:tblStyle w:val="Table"/>
        <w:tblW w:type="pct" w:w="5000"/>
        <w:tblLook w:firstRow="1"/>
      </w:tblPr>
      <w:tblGrid>
        <w:gridCol w:w="2888"/>
        <w:gridCol w:w="6137"/>
      </w:tblGrid>
      <w:tr>
        <w:trPr>
          <w:cnfStyle w:firstRow="1"/>
        </w:trPr>
        <w:tc>
          <w:tcPr>
            <w:tcW w:w="2888" w:type="dxa"/>
            <w:tcBorders>
              <w:bottom w:val="single"/>
            </w:tcBorders>
            <w:vAlign w:val="bottom"/>
          </w:tcPr>
          <w:p>
            <w:pPr>
              <w:pStyle w:val="Compact"/>
              <w:jc w:val="left"/>
            </w:pPr>
            <w:r>
              <w:t xml:space="preserve">承诺</w:t>
            </w:r>
          </w:p>
        </w:tc>
        <w:tc>
          <w:tcPr>
            <w:tcW w:w="6137" w:type="dxa"/>
            <w:tcBorders>
              <w:bottom w:val="single"/>
            </w:tcBorders>
            <w:vAlign w:val="bottom"/>
          </w:tcPr>
          <w:p>
            <w:pPr>
              <w:pStyle w:val="Compact"/>
              <w:jc w:val="left"/>
            </w:pPr>
            <w:r>
              <w:t xml:space="preserve">当前状态</w:t>
            </w:r>
          </w:p>
        </w:tc>
      </w:tr>
      <w:tr>
        <w:tc>
          <w:tcPr>
            <w:tcW w:w="2888" w:type="dxa"/>
          </w:tcPr>
          <w:p>
            <w:pPr>
              <w:pStyle w:val="Compact"/>
              <w:jc w:val="left"/>
            </w:pPr>
            <w:r>
              <w:t xml:space="preserve">AI 永远不能改写你的原始记录</w:t>
            </w:r>
          </w:p>
        </w:tc>
        <w:tc>
          <w:tcPr>
            <w:tcW w:w="6137" w:type="dxa"/>
          </w:tcPr>
          <w:p>
            <w:pPr>
              <w:pStyle w:val="Compact"/>
              <w:jc w:val="left"/>
            </w:pPr>
            <w:r>
              <w:rPr>
                <w:b/>
              </w:rPr>
              <w:t xml:space="preserve">已实现</w:t>
            </w:r>
            <w:r>
              <w:t xml:space="preserve">。服务层与路由层双重拒绝 agent 主体，越权调用返回 403，并强制改走提议流程</w:t>
            </w:r>
          </w:p>
        </w:tc>
      </w:tr>
      <w:tr>
        <w:tc>
          <w:tcPr>
            <w:tcW w:w="2888" w:type="dxa"/>
          </w:tcPr>
          <w:p>
            <w:pPr>
              <w:pStyle w:val="Compact"/>
              <w:jc w:val="left"/>
            </w:pPr>
            <w:r>
              <w:t xml:space="preserve">AI 不能直接在你的知识网络里建页</w:t>
            </w:r>
          </w:p>
        </w:tc>
        <w:tc>
          <w:tcPr>
            <w:tcW w:w="6137" w:type="dxa"/>
          </w:tcPr>
          <w:p>
            <w:pPr>
              <w:pStyle w:val="Compact"/>
              <w:jc w:val="left"/>
            </w:pPr>
            <w:r>
              <w:rPr>
                <w:b/>
              </w:rPr>
              <w:t xml:space="preserve">已实现</w:t>
            </w:r>
            <w:r>
              <w:t xml:space="preserve">。未经授权的工具（create_note / update_note）根本不会交给模型；写意图只能落成待确认的提议，越权调用由服务层拒绝</w:t>
            </w:r>
          </w:p>
        </w:tc>
      </w:tr>
      <w:tr>
        <w:tc>
          <w:tcPr>
            <w:tcW w:w="2888" w:type="dxa"/>
          </w:tcPr>
          <w:p>
            <w:pPr>
              <w:pStyle w:val="Compact"/>
              <w:jc w:val="left"/>
            </w:pPr>
            <w:r>
              <w:t xml:space="preserve">所有接入的 agent 共用同一份工作手册</w:t>
            </w:r>
          </w:p>
        </w:tc>
        <w:tc>
          <w:tcPr>
            <w:tcW w:w="6137" w:type="dxa"/>
          </w:tcPr>
          <w:p>
            <w:pPr>
              <w:pStyle w:val="Compact"/>
              <w:jc w:val="left"/>
            </w:pPr>
            <w:r>
              <w:rPr>
                <w:b/>
              </w:rPr>
              <w:t xml:space="preserve">已实现</w:t>
            </w:r>
            <w:r>
              <w:t xml:space="preserve">。手册同时是交给模型的系统提示词与界面上可查的工具授权清单；工具的权限与接口写在同一份里，因此不会各改一半</w:t>
            </w:r>
          </w:p>
        </w:tc>
      </w:tr>
    </w:tbl>
    <w:p>
      <w:pPr>
        <w:pStyle w:val="BodyText"/>
      </w:pPr>
      <w:r>
        <w:rPr>
          <w:b/>
        </w:rPr>
        <w:t xml:space="preserve">我们与 LLM Wiki 的诚实边界</w:t>
      </w:r>
      <w:r>
        <w:t xml:space="preserve">：我们借鉴的是“AI 维护知识库需要一份手册”这个理念本身。属于我们的是——</w:t>
      </w:r>
      <w:r>
        <w:rPr>
          <w:b/>
        </w:rPr>
        <w:t xml:space="preserve">手册里写的不是风格指南，而是权限边界</w:t>
      </w:r>
      <w:r>
        <w:t xml:space="preserve">；并且手册是</w:t>
      </w:r>
      <w:r>
        <w:rPr>
          <w:b/>
        </w:rPr>
        <w:t xml:space="preserve">共用的</w:t>
      </w:r>
      <w:r>
        <w:t xml:space="preserve">，将来不管换哪个模型、接哪种工具，agent 的行为都由同一份手册决定。换个说法：别人的 AI 行为取决于你用了哪个模型，我们的不取决于。</w:t>
      </w:r>
    </w:p>
    <w:p>
      <w:pPr>
        <w:pStyle w:val="Heading2"/>
      </w:pPr>
      <w:bookmarkStart w:id="25" w:name="我们的独创规划中"/>
      <w:r>
        <w:t xml:space="preserve">我们的独创（规划中）</w:t>
      </w:r>
      <w:bookmarkEnd w:id="25"/>
    </w:p>
    <w:p>
      <w:pPr>
        <w:pStyle w:val="FirstParagraph"/>
      </w:pPr>
      <w:r>
        <w:t xml:space="preserve">在借鉴的基础上，我们发现了三个“只有这两套东西加在一起才能做到”的能力：</w:t>
      </w:r>
    </w:p>
    <w:p>
      <w:pPr>
        <w:pStyle w:val="Heading3"/>
      </w:pPr>
      <w:bookmarkStart w:id="26" w:name="知识盲区地图"/>
      <w:r>
        <w:t xml:space="preserve">① 知识盲区地图</w:t>
      </w:r>
      <w:bookmarkEnd w:id="26"/>
    </w:p>
    <w:p>
      <w:pPr>
        <w:pStyle w:val="FirstParagraph"/>
      </w:pPr>
      <w:r>
        <w:t xml:space="preserve">将错题与知识图谱打通后，可以统计每条知识页被多少条错题所指向。反复出错的知识点，在图谱上被自动放大、染色，“盲区”一眼可见。这是 Obsidian 结构上做不到的（它没有做题数据），也是错题本 App 做不到的（它没有知识图谱）——只有当两者在同一个数据模型里时，这个能力才存在。</w:t>
      </w:r>
    </w:p>
    <w:p>
      <w:pPr>
        <w:pStyle w:val="BlockText"/>
      </w:pPr>
      <w:r>
        <w:t xml:space="preserve">【规划中】此功能需先完成错题回流与知识图谱可视化，当前处于规划阶段。</w:t>
      </w:r>
    </w:p>
    <w:p>
      <w:pPr>
        <w:pStyle w:val="Heading3"/>
      </w:pPr>
      <w:bookmarkStart w:id="27" w:name="连接检验式复习"/>
      <w:r>
        <w:t xml:space="preserve">② 连接检验式复习</w:t>
      </w:r>
      <w:bookmarkEnd w:id="27"/>
    </w:p>
    <w:p>
      <w:pPr>
        <w:pStyle w:val="FirstParagraph"/>
      </w:pPr>
      <w:r>
        <w:t xml:space="preserve">传统间隔重复（Anki 等）检验的是“你记不记得这个概念”。但大学考试真正考的是运用与联系。Chordnote 的复习模式不问“什么是特征值”，而是问“特征值和二次型是什么关系”——考的是知识页之间的关联，不是单个节点。答不上来，说明这条连接是薄弱环节，它就成为复习重点。</w:t>
      </w:r>
    </w:p>
    <w:p>
      <w:pPr>
        <w:pStyle w:val="BlockText"/>
      </w:pPr>
      <w:r>
        <w:t xml:space="preserve">【规划中】此功能处于规划阶段，当前版本尚未实现。</w:t>
      </w:r>
    </w:p>
    <w:p>
      <w:pPr>
        <w:pStyle w:val="Heading3"/>
      </w:pPr>
      <w:bookmarkStart w:id="28" w:name="错题回流"/>
      <w:r>
        <w:t xml:space="preserve">③ 错题回流</w:t>
      </w:r>
      <w:bookmarkEnd w:id="28"/>
    </w:p>
    <w:p>
      <w:pPr>
        <w:pStyle w:val="FirstParagraph"/>
      </w:pPr>
      <w:r>
        <w:t xml:space="preserve">错题本身不变成知识页，而是变成一条“指向知识页的原始记录”。拍照或粘贴错题 → AI 提炼“这题考了哪几个概念” → 和已有知识页对齐 → 提议建立连接。做题行为和知识库第一次真正打通。</w:t>
      </w:r>
    </w:p>
    <w:p>
      <w:pPr>
        <w:pStyle w:val="BlockText"/>
      </w:pPr>
      <w:r>
        <w:t xml:space="preserve">【规划中】此功能处于规划阶段，当前版本尚未实现。</w:t>
      </w:r>
    </w:p>
    <w:p>
      <w:pPr>
        <w:pStyle w:val="Heading1"/>
      </w:pPr>
      <w:bookmarkStart w:id="29" w:name="四解决方案与设计哲学"/>
      <w:r>
        <w:t xml:space="preserve">四、解决方案与设计哲学</w:t>
      </w:r>
      <w:bookmarkEnd w:id="29"/>
    </w:p>
    <w:p>
      <w:pPr>
        <w:pStyle w:val="FirstParagraph"/>
      </w:pPr>
      <w:r>
        <w:t xml:space="preserve">Chordnote 重新定义了人与 AI 在学习场景下的协作关系。核心流程如下：</w:t>
      </w:r>
    </w:p>
    <w:p>
      <w:pPr>
        <w:pStyle w:val="BodyText"/>
      </w:pPr>
      <w:r>
        <w:rPr>
          <w:b/>
        </w:rPr>
        <w:t xml:space="preserve">原始笔记 → AI 整理草稿 → 用户审阅确认 → 知识页 → 关联 → 图谱</w:t>
      </w:r>
    </w:p>
    <w:p>
      <w:pPr>
        <w:pStyle w:val="Heading2"/>
      </w:pPr>
      <w:bookmarkStart w:id="30" w:name="四项设计原则"/>
      <w:r>
        <w:t xml:space="preserve">四项设计原则</w:t>
      </w:r>
      <w:bookmarkEnd w:id="30"/>
    </w:p>
    <w:p>
      <w:pPr>
        <w:numPr>
          <w:ilvl w:val="0"/>
          <w:numId w:val="1004"/>
        </w:numPr>
      </w:pPr>
      <w:r>
        <w:rPr>
          <w:b/>
        </w:rPr>
        <w:t xml:space="preserve">人机协同确认（Human-in-the-Loop）</w:t>
      </w:r>
      <w:r>
        <w:t xml:space="preserve">。AI 提取重点与建立关联时均以“提议”方式呈现，绝不强行写入。学生始终保留最终的确认、修改与组织权，从根本上避免 AI 幻觉污染知识库。</w:t>
      </w:r>
    </w:p>
    <w:p>
      <w:pPr>
        <w:numPr>
          <w:ilvl w:val="0"/>
          <w:numId w:val="1004"/>
        </w:numPr>
      </w:pPr>
      <w:r>
        <w:rPr>
          <w:b/>
        </w:rPr>
        <w:t xml:space="preserve">数据可迁移、不锁定</w:t>
      </w:r>
      <w:r>
        <w:t xml:space="preserve">。所有知识可一键导出为标准 Markdown 文件包，能被 Obsidian、Notion 等任何工具直接打开。数据的所有权始终属于学生。</w:t>
      </w:r>
    </w:p>
    <w:p>
      <w:pPr>
        <w:numPr>
          <w:ilvl w:val="0"/>
          <w:numId w:val="1004"/>
        </w:numPr>
      </w:pPr>
      <w:r>
        <w:rPr>
          <w:b/>
        </w:rPr>
        <w:t xml:space="preserve">渐进式沉淀</w:t>
      </w:r>
      <w:r>
        <w:t xml:space="preserve">。不要求学生从第一天就做完美整理。随时倾倒想法，系统在后台逐步聚拢知识点，使孤立的笔记节点随学习推进自发演进为知识网络。</w:t>
      </w:r>
    </w:p>
    <w:p>
      <w:pPr>
        <w:numPr>
          <w:ilvl w:val="0"/>
          <w:numId w:val="1004"/>
        </w:numPr>
      </w:pPr>
      <w:r>
        <w:rPr>
          <w:b/>
        </w:rPr>
        <w:t xml:space="preserve">扩展性 AI 引擎</w:t>
      </w:r>
      <w:r>
        <w:t xml:space="preserve">。当前接入云端 DeepSeek 大模型；架构上预留了扩展接口，未来可对接其他模型（规划中）。</w:t>
      </w:r>
    </w:p>
    <w:p>
      <w:pPr>
        <w:pStyle w:val="Heading1"/>
      </w:pPr>
      <w:bookmarkStart w:id="31" w:name="五当前实现状态"/>
      <w:r>
        <w:t xml:space="preserve">五、当前实现状态</w:t>
      </w:r>
      <w:bookmarkEnd w:id="31"/>
    </w:p>
    <w:p>
      <w:pPr>
        <w:pStyle w:val="FirstParagraph"/>
      </w:pPr>
      <w:r>
        <w:t xml:space="preserve">本机运行：下载仓库后 `pnpm install` 再 `pnpm dev`，知识库自动建在本机并可直接使用；界面预览见 deliverables/Chordnote-界面预览.html（离线打开即可看）。</w:t>
      </w:r>
    </w:p>
    <w:p>
      <w:pPr>
        <w:pStyle w:val="Heading2"/>
      </w:pPr>
      <w:bookmarkStart w:id="33" w:name="已完成"/>
      <w:r>
        <w:t xml:space="preserve">已完成</w:t>
      </w:r>
      <w:bookmarkEnd w:id="33"/>
    </w:p>
    <w:tbl>
      <w:tblPr>
        <w:tblStyle w:val="Table"/>
        <w:tblW w:type="pct" w:w="5000"/>
        <w:tblLook w:firstRow="1"/>
      </w:tblPr>
      <w:tblGrid>
        <w:gridCol w:w="2888"/>
        <w:gridCol w:w="6137"/>
      </w:tblGrid>
      <w:tr>
        <w:trPr>
          <w:cnfStyle w:firstRow="1"/>
        </w:trPr>
        <w:tc>
          <w:tcPr>
            <w:tcW w:w="2888" w:type="dxa"/>
            <w:tcBorders>
              <w:bottom w:val="single"/>
            </w:tcBorders>
            <w:vAlign w:val="bottom"/>
          </w:tcPr>
          <w:p>
            <w:pPr>
              <w:pStyle w:val="Compact"/>
              <w:jc w:val="left"/>
            </w:pPr>
            <w:r>
              <w:t xml:space="preserve">功能模块</w:t>
            </w:r>
          </w:p>
        </w:tc>
        <w:tc>
          <w:tcPr>
            <w:tcW w:w="6137" w:type="dxa"/>
            <w:tcBorders>
              <w:bottom w:val="single"/>
            </w:tcBorders>
            <w:vAlign w:val="bottom"/>
          </w:tcPr>
          <w:p>
            <w:pPr>
              <w:pStyle w:val="Compact"/>
              <w:jc w:val="left"/>
            </w:pPr>
            <w:r>
              <w:t xml:space="preserve">说明</w:t>
            </w:r>
          </w:p>
        </w:tc>
      </w:tr>
      <w:tr>
        <w:tc>
          <w:tcPr>
            <w:tcW w:w="2888" w:type="dxa"/>
          </w:tcPr>
          <w:p>
            <w:pPr>
              <w:pStyle w:val="Compact"/>
              <w:jc w:val="left"/>
            </w:pPr>
            <w:r>
              <w:t xml:space="preserve">原始笔记管理</w:t>
            </w:r>
          </w:p>
        </w:tc>
        <w:tc>
          <w:tcPr>
            <w:tcW w:w="6137" w:type="dxa"/>
          </w:tcPr>
          <w:p>
            <w:pPr>
              <w:pStyle w:val="Compact"/>
              <w:jc w:val="left"/>
            </w:pPr>
            <w:r>
              <w:t xml:space="preserve">新建、查看、修改、删除，输入校验与长度上限，修改留有审计记录</w:t>
            </w:r>
          </w:p>
        </w:tc>
      </w:tr>
      <w:tr>
        <w:tc>
          <w:tcPr>
            <w:tcW w:w="2888" w:type="dxa"/>
          </w:tcPr>
          <w:p>
            <w:pPr>
              <w:pStyle w:val="Compact"/>
              <w:jc w:val="left"/>
            </w:pPr>
            <w:r>
              <w:t xml:space="preserve">AI 整理草稿</w:t>
            </w:r>
          </w:p>
        </w:tc>
        <w:tc>
          <w:tcPr>
            <w:tcW w:w="6137" w:type="dxa"/>
          </w:tcPr>
          <w:p>
            <w:pPr>
              <w:pStyle w:val="Compact"/>
              <w:jc w:val="left"/>
            </w:pPr>
            <w:r>
              <w:t xml:space="preserve">调用 DeepSeek 生成结构化草稿，不覆盖原始内容</w:t>
            </w:r>
          </w:p>
        </w:tc>
      </w:tr>
      <w:tr>
        <w:tc>
          <w:tcPr>
            <w:tcW w:w="2888" w:type="dxa"/>
          </w:tcPr>
          <w:p>
            <w:pPr>
              <w:pStyle w:val="Compact"/>
              <w:jc w:val="left"/>
            </w:pPr>
            <w:r>
              <w:t xml:space="preserve">审阅入库</w:t>
            </w:r>
          </w:p>
        </w:tc>
        <w:tc>
          <w:tcPr>
            <w:tcW w:w="6137" w:type="dxa"/>
          </w:tcPr>
          <w:p>
            <w:pPr>
              <w:pStyle w:val="Compact"/>
              <w:jc w:val="left"/>
            </w:pPr>
            <w:r>
              <w:t xml:space="preserve">草稿可逐项编辑，确认后才写入知识页，重复确认不产生重复记录</w:t>
            </w:r>
          </w:p>
        </w:tc>
      </w:tr>
      <w:tr>
        <w:tc>
          <w:tcPr>
            <w:tcW w:w="2888" w:type="dxa"/>
          </w:tcPr>
          <w:p>
            <w:pPr>
              <w:pStyle w:val="Compact"/>
              <w:jc w:val="left"/>
            </w:pPr>
            <w:r>
              <w:t xml:space="preserve">知识页</w:t>
            </w:r>
          </w:p>
        </w:tc>
        <w:tc>
          <w:tcPr>
            <w:tcW w:w="6137" w:type="dxa"/>
          </w:tcPr>
          <w:p>
            <w:pPr>
              <w:pStyle w:val="Compact"/>
              <w:jc w:val="left"/>
            </w:pPr>
            <w:r>
              <w:t xml:space="preserve">标题、摘要、正文、概念、关键词，支持内联编辑</w:t>
            </w:r>
          </w:p>
        </w:tc>
      </w:tr>
      <w:tr>
        <w:tc>
          <w:tcPr>
            <w:tcW w:w="2888" w:type="dxa"/>
          </w:tcPr>
          <w:p>
            <w:pPr>
              <w:pStyle w:val="Compact"/>
              <w:jc w:val="left"/>
            </w:pPr>
            <w:r>
              <w:t xml:space="preserve">关系建立</w:t>
            </w:r>
          </w:p>
        </w:tc>
        <w:tc>
          <w:tcPr>
            <w:tcW w:w="6137" w:type="dxa"/>
          </w:tcPr>
          <w:p>
            <w:pPr>
              <w:pStyle w:val="Compact"/>
              <w:jc w:val="left"/>
            </w:pPr>
            <w:r>
              <w:t xml:space="preserve">AI 提出关联建议，用户勾选后保存；服务端校验、拒绝自连接并去重</w:t>
            </w:r>
          </w:p>
        </w:tc>
      </w:tr>
      <w:tr>
        <w:tc>
          <w:tcPr>
            <w:tcW w:w="2888" w:type="dxa"/>
          </w:tcPr>
          <w:p>
            <w:pPr>
              <w:pStyle w:val="Compact"/>
              <w:jc w:val="left"/>
            </w:pPr>
            <w:r>
              <w:t xml:space="preserve">引用式问答</w:t>
            </w:r>
          </w:p>
        </w:tc>
        <w:tc>
          <w:tcPr>
            <w:tcW w:w="6137" w:type="dxa"/>
          </w:tcPr>
          <w:p>
            <w:pPr>
              <w:pStyle w:val="Compact"/>
              <w:jc w:val="left"/>
            </w:pPr>
            <w:r>
              <w:t xml:space="preserve">右侧面板用 @ 提及已有笔记，服务端重新读取真实内容后作答</w:t>
            </w:r>
          </w:p>
        </w:tc>
      </w:tr>
      <w:tr>
        <w:tc>
          <w:tcPr>
            <w:tcW w:w="2888" w:type="dxa"/>
          </w:tcPr>
          <w:p>
            <w:pPr>
              <w:pStyle w:val="Compact"/>
              <w:jc w:val="left"/>
            </w:pPr>
            <w:r>
              <w:t xml:space="preserve">关系图谱 API</w:t>
            </w:r>
          </w:p>
        </w:tc>
        <w:tc>
          <w:tcPr>
            <w:tcW w:w="6137" w:type="dxa"/>
          </w:tcPr>
          <w:p>
            <w:pPr>
              <w:pStyle w:val="Compact"/>
              <w:jc w:val="left"/>
            </w:pPr>
            <w:r>
              <w:t xml:space="preserve">从知识页与关联实时生成节点与连线数据</w:t>
            </w:r>
          </w:p>
        </w:tc>
      </w:tr>
      <w:tr>
        <w:tc>
          <w:tcPr>
            <w:tcW w:w="2888" w:type="dxa"/>
          </w:tcPr>
          <w:p>
            <w:pPr>
              <w:pStyle w:val="Compact"/>
              <w:jc w:val="left"/>
            </w:pPr>
            <w:r>
              <w:t xml:space="preserve">工作台界面</w:t>
            </w:r>
          </w:p>
        </w:tc>
        <w:tc>
          <w:tcPr>
            <w:tcW w:w="6137" w:type="dxa"/>
          </w:tcPr>
          <w:p>
            <w:pPr>
              <w:pStyle w:val="Compact"/>
              <w:jc w:val="left"/>
            </w:pPr>
            <w:r>
              <w:t xml:space="preserve">文件树 + 标签页协同浏览，首屏三种揭示方式</w:t>
            </w:r>
          </w:p>
        </w:tc>
      </w:tr>
      <w:tr>
        <w:tc>
          <w:tcPr>
            <w:tcW w:w="2888" w:type="dxa"/>
          </w:tcPr>
          <w:p>
            <w:pPr>
              <w:pStyle w:val="Compact"/>
              <w:jc w:val="left"/>
            </w:pPr>
            <w:r>
              <w:rPr>
                <w:b/>
              </w:rPr>
              <w:t xml:space="preserve">越权写入拦截</w:t>
            </w:r>
          </w:p>
        </w:tc>
        <w:tc>
          <w:tcPr>
            <w:tcW w:w="6137" w:type="dxa"/>
          </w:tcPr>
          <w:p>
            <w:pPr>
              <w:pStyle w:val="Compact"/>
              <w:jc w:val="left"/>
            </w:pPr>
            <w:r>
              <w:t xml:space="preserve">服务层拒绝 agent 主体改写原始记录，强制走提议流程（返回 403）</w:t>
            </w:r>
          </w:p>
        </w:tc>
      </w:tr>
      <w:tr>
        <w:tc>
          <w:tcPr>
            <w:tcW w:w="2888" w:type="dxa"/>
          </w:tcPr>
          <w:p>
            <w:pPr>
              <w:pStyle w:val="Compact"/>
              <w:jc w:val="left"/>
            </w:pPr>
            <w:r>
              <w:t xml:space="preserve">数据库层</w:t>
            </w:r>
          </w:p>
        </w:tc>
        <w:tc>
          <w:tcPr>
            <w:tcW w:w="6137" w:type="dxa"/>
          </w:tcPr>
          <w:p>
            <w:pPr>
              <w:pStyle w:val="Compact"/>
              <w:jc w:val="left"/>
            </w:pPr>
            <w:r>
              <w:t xml:space="preserve">Drizzle + 本机 PGlite（PostgreSQL 方言，跑在应用进程内），完整迁移、归属隔离，另有 61 项接口回归测试</w:t>
            </w:r>
          </w:p>
        </w:tc>
      </w:tr>
      <w:tr>
        <w:tc>
          <w:tcPr>
            <w:tcW w:w="2888" w:type="dxa"/>
          </w:tcPr>
          <w:p>
            <w:pPr>
              <w:pStyle w:val="Compact"/>
              <w:jc w:val="left"/>
            </w:pPr>
            <w:r>
              <w:t xml:space="preserve">一键导出知识包</w:t>
            </w:r>
          </w:p>
        </w:tc>
        <w:tc>
          <w:tcPr>
            <w:tcW w:w="6137" w:type="dxa"/>
          </w:tcPr>
          <w:p>
            <w:pPr>
              <w:pStyle w:val="Compact"/>
              <w:jc w:val="left"/>
            </w:pPr>
            <w:r>
              <w:t xml:space="preserve">已实现。设置面板里可导出知识包：JSON 是含修订历史的完整快照，markdown 包（zip）供拿出去读或迁移；两者都能再导入回来，同名保留已有、不静默覆盖</w:t>
            </w:r>
          </w:p>
        </w:tc>
      </w:tr>
      <w:tr>
        <w:tc>
          <w:tcPr>
            <w:tcW w:w="2888" w:type="dxa"/>
          </w:tcPr>
          <w:p>
            <w:pPr>
              <w:pStyle w:val="Compact"/>
              <w:jc w:val="left"/>
            </w:pPr>
            <w:r>
              <w:t xml:space="preserve">反链面板</w:t>
            </w:r>
          </w:p>
        </w:tc>
        <w:tc>
          <w:tcPr>
            <w:tcW w:w="6137" w:type="dxa"/>
          </w:tcPr>
          <w:p>
            <w:pPr>
              <w:pStyle w:val="Compact"/>
              <w:jc w:val="left"/>
            </w:pPr>
            <w:r>
              <w:t xml:space="preserve">已实现。右栏入链 / 出链 / 未链接提及，可一键建立关联</w:t>
            </w:r>
          </w:p>
        </w:tc>
      </w:tr>
      <w:tr>
        <w:tc>
          <w:tcPr>
            <w:tcW w:w="2888" w:type="dxa"/>
          </w:tcPr>
          <w:p>
            <w:pPr>
              <w:pStyle w:val="Compact"/>
              <w:jc w:val="left"/>
            </w:pPr>
            <w:r>
              <w:t xml:space="preserve">力导向知识图谱</w:t>
            </w:r>
          </w:p>
        </w:tc>
        <w:tc>
          <w:tcPr>
            <w:tcW w:w="6137" w:type="dxa"/>
          </w:tcPr>
          <w:p>
            <w:pPr>
              <w:pStyle w:val="Compact"/>
              <w:jc w:val="left"/>
            </w:pPr>
            <w:r>
              <w:t xml:space="preserve">已实现。可拖动、缩放、悬停聚焦的力导向图；力学计算与渲染分离，参数可实时调节</w:t>
            </w:r>
          </w:p>
        </w:tc>
      </w:tr>
      <w:tr>
        <w:tc>
          <w:tcPr>
            <w:tcW w:w="2888" w:type="dxa"/>
          </w:tcPr>
          <w:p>
            <w:pPr>
              <w:pStyle w:val="Compact"/>
              <w:jc w:val="left"/>
            </w:pPr>
            <w:r>
              <w:t xml:space="preserve">提议机制</w:t>
            </w:r>
          </w:p>
        </w:tc>
        <w:tc>
          <w:tcPr>
            <w:tcW w:w="6137" w:type="dxa"/>
          </w:tcPr>
          <w:p>
            <w:pPr>
              <w:pStyle w:val="Compact"/>
              <w:jc w:val="left"/>
            </w:pPr>
            <w:r>
              <w:t xml:space="preserve">已实现。提议服务层与接口（批准 / 拒绝 / 执行）齐备；写意图只能落成待确认的提议，越权调用在服务层被拒绝</w:t>
            </w:r>
          </w:p>
        </w:tc>
      </w:tr>
      <w:tr>
        <w:tc>
          <w:tcPr>
            <w:tcW w:w="2888" w:type="dxa"/>
          </w:tcPr>
          <w:p>
            <w:pPr>
              <w:pStyle w:val="Compact"/>
              <w:jc w:val="left"/>
            </w:pPr>
            <w:r>
              <w:t xml:space="preserve">agent 工作手册</w:t>
            </w:r>
          </w:p>
        </w:tc>
        <w:tc>
          <w:tcPr>
            <w:tcW w:w="6137" w:type="dxa"/>
          </w:tcPr>
          <w:p>
            <w:pPr>
              <w:pStyle w:val="Compact"/>
              <w:jc w:val="left"/>
            </w:pPr>
            <w:r>
              <w:t xml:space="preserve">已实现。所有接入的 agent 共用的规范，规定其权限边界与产出格式；工具授权与系统提示词出自同一份，不随模型漂移</w:t>
            </w:r>
          </w:p>
        </w:tc>
      </w:tr>
    </w:tbl>
    <w:p>
      <w:pPr>
        <w:pStyle w:val="Heading2"/>
      </w:pPr>
      <w:bookmarkStart w:id="34" w:name="规划中尚未实现"/>
      <w:r>
        <w:t xml:space="preserve">规划中（尚未实现）</w:t>
      </w:r>
      <w:bookmarkEnd w:id="34"/>
    </w:p>
    <w:tbl>
      <w:tblPr>
        <w:tblStyle w:val="Table"/>
        <w:tblW w:type="pct" w:w="5000"/>
        <w:tblLook w:firstRow="1"/>
      </w:tblPr>
      <w:tblGrid>
        <w:gridCol w:w="2888"/>
        <w:gridCol w:w="6137"/>
      </w:tblGrid>
      <w:tr>
        <w:trPr>
          <w:cnfStyle w:firstRow="1"/>
        </w:trPr>
        <w:tc>
          <w:tcPr>
            <w:tcW w:w="2888" w:type="dxa"/>
            <w:tcBorders>
              <w:bottom w:val="single"/>
            </w:tcBorders>
            <w:vAlign w:val="bottom"/>
          </w:tcPr>
          <w:p>
            <w:pPr>
              <w:pStyle w:val="Compact"/>
              <w:jc w:val="left"/>
            </w:pPr>
            <w:r>
              <w:t xml:space="preserve">功能</w:t>
            </w:r>
          </w:p>
        </w:tc>
        <w:tc>
          <w:tcPr>
            <w:tcW w:w="6137" w:type="dxa"/>
            <w:tcBorders>
              <w:bottom w:val="single"/>
            </w:tcBorders>
            <w:vAlign w:val="bottom"/>
          </w:tcPr>
          <w:p>
            <w:pPr>
              <w:pStyle w:val="Compact"/>
              <w:jc w:val="left"/>
            </w:pPr>
            <w:r>
              <w:t xml:space="preserve">说明</w:t>
            </w:r>
          </w:p>
        </w:tc>
      </w:tr>
      <w:tr>
        <w:tc>
          <w:tcPr>
            <w:tcW w:w="2888" w:type="dxa"/>
          </w:tcPr>
          <w:p>
            <w:pPr>
              <w:pStyle w:val="Compact"/>
              <w:jc w:val="left"/>
            </w:pPr>
            <w:r>
              <w:t xml:space="preserve">双链语法</w:t>
            </w:r>
          </w:p>
        </w:tc>
        <w:tc>
          <w:tcPr>
            <w:tcW w:w="6137" w:type="dxa"/>
          </w:tcPr>
          <w:p>
            <w:pPr>
              <w:pStyle w:val="Compact"/>
              <w:jc w:val="left"/>
            </w:pPr>
            <w:r>
              <w:t xml:space="preserve">正文 [[知识页]] 自动识别并写入关系，点击可跳转</w:t>
            </w:r>
          </w:p>
        </w:tc>
      </w:tr>
      <w:tr>
        <w:tc>
          <w:tcPr>
            <w:tcW w:w="2888" w:type="dxa"/>
          </w:tcPr>
          <w:p>
            <w:pPr>
              <w:pStyle w:val="Compact"/>
              <w:jc w:val="left"/>
            </w:pPr>
            <w:r>
              <w:t xml:space="preserve">错题回流</w:t>
            </w:r>
          </w:p>
        </w:tc>
        <w:tc>
          <w:tcPr>
            <w:tcW w:w="6137" w:type="dxa"/>
          </w:tcPr>
          <w:p>
            <w:pPr>
              <w:pStyle w:val="Compact"/>
              <w:jc w:val="left"/>
            </w:pPr>
            <w:r>
              <w:t xml:space="preserve">见第三章创意描述</w:t>
            </w:r>
          </w:p>
        </w:tc>
      </w:tr>
      <w:tr>
        <w:tc>
          <w:tcPr>
            <w:tcW w:w="2888" w:type="dxa"/>
          </w:tcPr>
          <w:p>
            <w:pPr>
              <w:pStyle w:val="Compact"/>
              <w:jc w:val="left"/>
            </w:pPr>
            <w:r>
              <w:t xml:space="preserve">知识盲区地图</w:t>
            </w:r>
          </w:p>
        </w:tc>
        <w:tc>
          <w:tcPr>
            <w:tcW w:w="6137" w:type="dxa"/>
          </w:tcPr>
          <w:p>
            <w:pPr>
              <w:pStyle w:val="Compact"/>
              <w:jc w:val="left"/>
            </w:pPr>
            <w:r>
              <w:t xml:space="preserve">见第三章创意描述</w:t>
            </w:r>
          </w:p>
        </w:tc>
      </w:tr>
      <w:tr>
        <w:tc>
          <w:tcPr>
            <w:tcW w:w="2888" w:type="dxa"/>
          </w:tcPr>
          <w:p>
            <w:pPr>
              <w:pStyle w:val="Compact"/>
              <w:jc w:val="left"/>
            </w:pPr>
            <w:r>
              <w:t xml:space="preserve">连接检验式复习</w:t>
            </w:r>
          </w:p>
        </w:tc>
        <w:tc>
          <w:tcPr>
            <w:tcW w:w="6137" w:type="dxa"/>
          </w:tcPr>
          <w:p>
            <w:pPr>
              <w:pStyle w:val="Compact"/>
              <w:jc w:val="left"/>
            </w:pPr>
            <w:r>
              <w:t xml:space="preserve">见第三章创意描述</w:t>
            </w:r>
          </w:p>
        </w:tc>
      </w:tr>
    </w:tbl>
    <w:p>
      <w:pPr>
        <w:pStyle w:val="Heading1"/>
      </w:pPr>
      <w:bookmarkStart w:id="35" w:name="六mvp1.0规划"/>
      <w:r>
        <w:t xml:space="preserve">六、MVP（1.0）规划</w:t>
      </w:r>
      <w:bookmarkEnd w:id="35"/>
    </w:p>
    <w:p>
      <w:pPr>
        <w:pStyle w:val="FirstParagraph"/>
      </w:pPr>
      <w:r>
        <w:t xml:space="preserve">为快速交付并拿到种子学生面前验证，1.0 版本聚焦最核心的价值闭环：</w:t>
      </w:r>
    </w:p>
    <w:tbl>
      <w:tblPr>
        <w:tblStyle w:val="Table"/>
        <w:tblW w:type="pct" w:w="5000"/>
        <w:tblLook w:firstRow="1"/>
      </w:tblPr>
      <w:tblGrid>
        <w:gridCol w:w="1985"/>
        <w:gridCol w:w="3520"/>
        <w:gridCol w:w="3520"/>
      </w:tblGrid>
      <w:tr>
        <w:trPr>
          <w:cnfStyle w:firstRow="1"/>
        </w:trPr>
        <w:tc>
          <w:tcPr>
            <w:tcW w:w="1985" w:type="dxa"/>
            <w:tcBorders>
              <w:bottom w:val="single"/>
            </w:tcBorders>
            <w:vAlign w:val="bottom"/>
          </w:tcPr>
          <w:p>
            <w:pPr>
              <w:pStyle w:val="Compact"/>
              <w:jc w:val="left"/>
            </w:pPr>
            <w:r>
              <w:t xml:space="preserve">核心模块</w:t>
            </w:r>
          </w:p>
        </w:tc>
        <w:tc>
          <w:tcPr>
            <w:tcW w:w="3520" w:type="dxa"/>
            <w:tcBorders>
              <w:bottom w:val="single"/>
            </w:tcBorders>
            <w:vAlign w:val="bottom"/>
          </w:tcPr>
          <w:p>
            <w:pPr>
              <w:pStyle w:val="Compact"/>
              <w:jc w:val="left"/>
            </w:pPr>
            <w:r>
              <w:t xml:space="preserve">功能职责</w:t>
            </w:r>
          </w:p>
        </w:tc>
        <w:tc>
          <w:tcPr>
            <w:tcW w:w="3520" w:type="dxa"/>
            <w:tcBorders>
              <w:bottom w:val="single"/>
            </w:tcBorders>
            <w:vAlign w:val="bottom"/>
          </w:tcPr>
          <w:p>
            <w:pPr>
              <w:pStyle w:val="Compact"/>
              <w:jc w:val="left"/>
            </w:pPr>
            <w:r>
              <w:t xml:space="preserve">用户价值</w:t>
            </w:r>
          </w:p>
        </w:tc>
      </w:tr>
      <w:tr>
        <w:tc>
          <w:tcPr>
            <w:tcW w:w="1985" w:type="dxa"/>
          </w:tcPr>
          <w:p>
            <w:pPr>
              <w:pStyle w:val="Compact"/>
              <w:jc w:val="left"/>
            </w:pPr>
            <w:r>
              <w:t xml:space="preserve">笔记写入</w:t>
            </w:r>
          </w:p>
        </w:tc>
        <w:tc>
          <w:tcPr>
            <w:tcW w:w="3520" w:type="dxa"/>
          </w:tcPr>
          <w:p>
            <w:pPr>
              <w:pStyle w:val="Compact"/>
              <w:jc w:val="left"/>
            </w:pPr>
            <w:r>
              <w:t xml:space="preserve">极简文本快速记录，随时倾倒想法</w:t>
            </w:r>
          </w:p>
        </w:tc>
        <w:tc>
          <w:tcPr>
            <w:tcW w:w="3520" w:type="dxa"/>
          </w:tcPr>
          <w:p>
            <w:pPr>
              <w:pStyle w:val="Compact"/>
              <w:jc w:val="left"/>
            </w:pPr>
            <w:r>
              <w:t xml:space="preserve">低门槛，消除“面对空白页”的焦虑</w:t>
            </w:r>
          </w:p>
        </w:tc>
      </w:tr>
      <w:tr>
        <w:tc>
          <w:tcPr>
            <w:tcW w:w="1985" w:type="dxa"/>
          </w:tcPr>
          <w:p>
            <w:pPr>
              <w:pStyle w:val="Compact"/>
              <w:jc w:val="left"/>
            </w:pPr>
            <w:r>
              <w:t xml:space="preserve">AI 智能整理</w:t>
            </w:r>
          </w:p>
        </w:tc>
        <w:tc>
          <w:tcPr>
            <w:tcW w:w="3520" w:type="dxa"/>
          </w:tcPr>
          <w:p>
            <w:pPr>
              <w:pStyle w:val="Compact"/>
              <w:jc w:val="left"/>
            </w:pPr>
            <w:r>
              <w:t xml:space="preserve">自动提炼重点，发起关联提议（须用户确认）</w:t>
            </w:r>
          </w:p>
        </w:tc>
        <w:tc>
          <w:tcPr>
            <w:tcW w:w="3520" w:type="dxa"/>
          </w:tcPr>
          <w:p>
            <w:pPr>
              <w:pStyle w:val="Compact"/>
              <w:jc w:val="left"/>
            </w:pPr>
            <w:r>
              <w:t xml:space="preserve">解决“整理太累”与“AI 幻觉”问题</w:t>
            </w:r>
          </w:p>
        </w:tc>
      </w:tr>
      <w:tr>
        <w:tc>
          <w:tcPr>
            <w:tcW w:w="1985" w:type="dxa"/>
          </w:tcPr>
          <w:p>
            <w:pPr>
              <w:pStyle w:val="Compact"/>
              <w:jc w:val="left"/>
            </w:pPr>
            <w:r>
              <w:t xml:space="preserve">知识图谱建立</w:t>
            </w:r>
          </w:p>
        </w:tc>
        <w:tc>
          <w:tcPr>
            <w:tcW w:w="3520" w:type="dxa"/>
          </w:tcPr>
          <w:p>
            <w:pPr>
              <w:pStyle w:val="Compact"/>
              <w:jc w:val="left"/>
            </w:pPr>
            <w:r>
              <w:t xml:space="preserve">网状图谱自动点亮与动态可视化呈现</w:t>
            </w:r>
          </w:p>
        </w:tc>
        <w:tc>
          <w:tcPr>
            <w:tcW w:w="3520" w:type="dxa"/>
          </w:tcPr>
          <w:p>
            <w:pPr>
              <w:pStyle w:val="Compact"/>
              <w:jc w:val="left"/>
            </w:pPr>
            <w:r>
              <w:t xml:space="preserve">直观感知“孤立笔记变网状知识”的成就感</w:t>
            </w:r>
          </w:p>
        </w:tc>
      </w:tr>
    </w:tbl>
    <w:p>
      <w:pPr>
        <w:pStyle w:val="BodyText"/>
      </w:pPr>
      <w:r>
        <w:t xml:space="preserve">Chordnote 以“AI 建议、用户决策”为原则，以“数据可迁移不锁定”保障数据所有权，用写入、整理、图谱三个模块形成最小价值闭环，帮助学生把零散笔记逐步沉淀为贯穿大学四年的知识网络。</w:t>
      </w:r>
    </w:p>
    <w:p>
      <w:pPr>
        <w:pStyle w:val="Heading1"/>
      </w:pPr>
      <w:bookmarkStart w:id="36" w:name="七后续方向规划"/>
      <w:r>
        <w:t xml:space="preserve">七、后续方向（规划）</w:t>
      </w:r>
      <w:bookmarkEnd w:id="36"/>
    </w:p>
    <w:p>
      <w:pPr>
        <w:pStyle w:val="FirstParagraph"/>
      </w:pPr>
      <w:r>
        <w:t xml:space="preserve">主链路之外的下一步，我们按同一个约束推进——AI 只提议、用户确认、原始记录不可改写——并且只加厚知识库的数据通路，不新增学习工具的形态。这条判据来自 ADR-0004：新增的必须是数据通路（输入端多一种原始记录），不是产品形态（多一个标签页）。</w:t>
      </w:r>
    </w:p>
    <w:p>
      <w:pPr>
        <w:pStyle w:val="Heading2"/>
      </w:pPr>
      <w:bookmarkStart w:id="37" w:name="让更多材料进得来"/>
      <w:r>
        <w:t xml:space="preserve">让更多材料进得来</w:t>
      </w:r>
      <w:bookmarkEnd w:id="37"/>
    </w:p>
    <w:p>
      <w:pPr>
        <w:pStyle w:val="FirstParagraph"/>
      </w:pPr>
      <w:r>
        <w:t xml:space="preserve">PDF 与截图的 OCR 加大模型处理、手写与触感笔记的录入、视频内容的解读与整理。这些材料今天散落在课件、网盘、聊天记录和视频网站里，彼此之间没有连接；把它们接进同一套知识模型，本身就有价值。每一样都以新的原始记录形态进入知识库，共用同一套整理与确认流程，而不是各做一套独立界面。</w:t>
      </w:r>
    </w:p>
    <w:p>
      <w:pPr>
        <w:pStyle w:val="Heading2"/>
      </w:pPr>
      <w:bookmarkStart w:id="38" w:name="习题与错题回流"/>
      <w:r>
        <w:t xml:space="preserve">习题与错题回流</w:t>
      </w:r>
      <w:bookmarkEnd w:id="38"/>
    </w:p>
    <w:p>
      <w:pPr>
        <w:pStyle w:val="FirstParagraph"/>
      </w:pPr>
      <w:r>
        <w:t xml:space="preserve">接入习题库，让习题与错题作为一种原始记录进入知识库：AI 提炼它考查的概念，与已有知识页对齐后提议建立关联。当做题数据与知识页处在同一套数据模型里，“每条知识页被多少条错题指向”才统计得出来，反复出错的知识点也才可能在知识网络上被放大。这是本作品“错题回流”与“知识盲区地图”两项规划的共同前提。</w:t>
      </w:r>
    </w:p>
    <w:p>
      <w:pPr>
        <w:pStyle w:val="Heading2"/>
      </w:pPr>
      <w:bookmarkStart w:id="39" w:name="属于这门课自己的学习agent"/>
      <w:r>
        <w:t xml:space="preserve">属于这门课自己的学习 agent</w:t>
      </w:r>
      <w:bookmarkEnd w:id="39"/>
    </w:p>
    <w:p>
      <w:pPr>
        <w:pStyle w:val="FirstParagraph"/>
      </w:pPr>
      <w:r>
        <w:t xml:space="preserve">把现在只会“整理”的助手，扩展成理解个人知识结构、知道哪些知识点反复出错的 agent。它仍然只提议、不落库；权限边界依旧由那份共用的工作手册决定。这里加的是理解深度，不是新的复习模块——产品形态不变。</w:t>
      </w:r>
    </w:p>
    <w:p>
      <w:pPr>
        <w:pStyle w:val="Heading2"/>
      </w:pPr>
      <w:bookmarkStart w:id="40" w:name="可迁移性继续加固"/>
      <w:r>
        <w:t xml:space="preserve">可迁移性继续加固</w:t>
      </w:r>
      <w:bookmarkEnd w:id="40"/>
    </w:p>
    <w:p>
      <w:pPr>
        <w:pStyle w:val="FirstParagraph"/>
      </w:pPr>
      <w:r>
        <w:t xml:space="preserve">知识包导出与导入已经可用（JSON 完整快照与 Markdown 包），后续补齐定期备份与更大规模的导入。</w:t>
      </w:r>
    </w:p>
    <w:p>
      <w:pPr>
        <w:pStyle w:val="BodyText"/>
      </w:pPr>
      <w:r>
        <w:t xml:space="preserve">以上各项均处于规划阶段，当前版本尚未实现。</w:t>
      </w:r>
    </w:p>
    <w:p>
      <w:r>
        <w:pict>
          <v:rect style="width:0;height:1.5pt" o:hralign="center" o:hrstd="t" o:hr="t"/>
        </w:pict>
      </w:r>
    </w:p>
    <w:p>
      <w:pPr>
        <w:pStyle w:val="FirstParagraph"/>
      </w:pPr>
      <w:r>
        <w:rPr>
          <w:i/>
        </w:rPr>
        <w:t xml:space="preserve">一条笔记是音符，连起来才是和弦。</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Chordnote · 和弦</dc:title>
  <dc:creator/>
  <cp:keywords/>
  <dcterms:created xsi:type="dcterms:W3CDTF">2026-10-16T01:27:28Z</dcterms:created>
  <dcterms:modified xsi:type="dcterms:W3CDTF">2026-10-16T01:27:28Z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项目计划与产品概念书</vt:lpwstr>
  </property>
</Properties>
</file>