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ms-office.chartcolorstyle+xml" PartName="/word/charts/colors1.xml"/>
  <Override ContentType="application/vnd.openxmlformats-officedocument.drawingml.chart+xml" PartName="/word/charts/chart1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SPRINT REVIEW 3</w:t>
      </w:r>
    </w:p>
    <w:p w:rsidR="00000000" w:rsidDel="00000000" w:rsidP="00000000" w:rsidRDefault="00000000" w:rsidRPr="00000000" w14:paraId="00000002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Información General</w:t>
      </w:r>
      <w:r w:rsidDel="00000000" w:rsidR="00000000" w:rsidRPr="00000000">
        <w:rPr>
          <w:rFonts w:ascii="Play" w:cs="Play" w:eastAsia="Play" w:hAnsi="Play"/>
          <w:color w:val="0f4761"/>
          <w:sz w:val="36"/>
          <w:szCs w:val="36"/>
          <w:rtl w:val="0"/>
        </w:rPr>
        <w:br w:type="textWrapping"/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Proyecto: EventRadar</w:t>
        <w:br w:type="textWrapping"/>
        <w:t xml:space="preserve">Sprint N°: 3</w:t>
        <w:br w:type="textWrapping"/>
        <w:t xml:space="preserve">Fecha: 22/09/2025</w:t>
        <w:br w:type="textWrapping"/>
        <w:t xml:space="preserve">Scrum Máster: Iván Díaz</w:t>
        <w:br w:type="textWrapping"/>
        <w:t xml:space="preserve">Product Owner: Diego Valenzuela </w:t>
        <w:br w:type="textWrapping"/>
        <w:t xml:space="preserve">Equipo de Desarrollo: Iván Díaz, Alejandro Troncoso</w:t>
      </w:r>
    </w:p>
    <w:p w:rsidR="00000000" w:rsidDel="00000000" w:rsidP="00000000" w:rsidRDefault="00000000" w:rsidRPr="00000000" w14:paraId="00000003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Objetivos del Sprint</w:t>
      </w:r>
    </w:p>
    <w:p w:rsidR="00000000" w:rsidDel="00000000" w:rsidP="00000000" w:rsidRDefault="00000000" w:rsidRPr="00000000" w14:paraId="00000004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I</w:t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mplementar notificaciones push web y móvil.</w:t>
      </w:r>
    </w:p>
    <w:p w:rsidR="00000000" w:rsidDel="00000000" w:rsidP="00000000" w:rsidRDefault="00000000" w:rsidRPr="00000000" w14:paraId="00000005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Agregar validación geográfica con API Nominatim.</w:t>
      </w:r>
    </w:p>
    <w:p w:rsidR="00000000" w:rsidDel="00000000" w:rsidP="00000000" w:rsidRDefault="00000000" w:rsidRPr="00000000" w14:paraId="00000006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Crear centro de notificaciones in-app.</w:t>
      </w:r>
    </w:p>
    <w:tbl>
      <w:tblPr>
        <w:tblStyle w:val="Table1"/>
        <w:tblpPr w:leftFromText="141" w:rightFromText="141" w:topFromText="0" w:bottomFromText="0" w:vertAnchor="text" w:horzAnchor="text" w:tblpX="0" w:tblpY="918"/>
        <w:tblW w:w="7890.0" w:type="dxa"/>
        <w:jc w:val="left"/>
        <w:tblLayout w:type="fixed"/>
        <w:tblLook w:val="0400"/>
      </w:tblPr>
      <w:tblGrid>
        <w:gridCol w:w="1125"/>
        <w:gridCol w:w="4320"/>
        <w:gridCol w:w="1470"/>
        <w:gridCol w:w="975"/>
        <w:tblGridChange w:id="0">
          <w:tblGrid>
            <w:gridCol w:w="1125"/>
            <w:gridCol w:w="4320"/>
            <w:gridCol w:w="1470"/>
            <w:gridCol w:w="97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pStyle w:val="Heading1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Historia de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Style w:val="Heading1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Style w:val="Heading1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Nota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Push notifications web/mobile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Validación de direcciones (geocoding)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Centro de notificaciones in-app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Style w:val="Heading1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Historias de Usuario Completada</w:t>
      </w:r>
    </w:p>
    <w:p w:rsidR="00000000" w:rsidDel="00000000" w:rsidP="00000000" w:rsidRDefault="00000000" w:rsidRPr="00000000" w14:paraId="00000018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Play" w:cs="Play" w:eastAsia="Play" w:hAnsi="Play"/>
          <w:color w:val="0f4761"/>
          <w:sz w:val="40"/>
          <w:szCs w:val="40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Historias de Usuario No Completadas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  <w:t xml:space="preserve">—</w:t>
      </w:r>
    </w:p>
    <w:p w:rsidR="00000000" w:rsidDel="00000000" w:rsidP="00000000" w:rsidRDefault="00000000" w:rsidRPr="00000000" w14:paraId="00000020">
      <w:pPr>
        <w:pStyle w:val="Heading1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Métricas del Sprint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Historias planificadas: 3</w:t>
        <w:br w:type="textWrapping"/>
        <w:t xml:space="preserve">Historias completadas: 3</w:t>
        <w:br w:type="textWrapping"/>
        <w:t xml:space="preserve">Burndown chart: 100% completado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/>
        <w:drawing>
          <wp:inline distB="0" distT="0" distL="0" distR="0">
            <wp:extent cx="5410200" cy="3162300"/>
            <wp:docPr id="920227039" name=""/>
            <a:graphic>
              <a:graphicData uri="http://schemas.openxmlformats.org/drawingml/2006/chart">
                <c:chart r:id="rId7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Feedback del Product Owner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Positivo: Excelente integración de notificaciones en tiempo real.</w:t>
        <w:br w:type="textWrapping"/>
        <w:t xml:space="preserve">A mejorar: Ajustar tamaño de los mensajes en notificaciones móviles.</w:t>
      </w:r>
    </w:p>
    <w:p w:rsidR="00000000" w:rsidDel="00000000" w:rsidP="00000000" w:rsidRDefault="00000000" w:rsidRPr="00000000" w14:paraId="00000025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Próximos Pasos</w:t>
      </w:r>
      <w:sdt>
        <w:sdtPr>
          <w:id w:val="19807793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4761"/>
              <w:sz w:val="40"/>
              <w:szCs w:val="40"/>
              <w:rtl w:val="0"/>
            </w:rPr>
            <w:br w:type="textWrapping"/>
            <w:t xml:space="preserve">● </w:t>
          </w:r>
        </w:sdtContent>
      </w:sdt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Sprint 4: Agregar filtros avanzados y optimización de búsqueda.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3187700</wp:posOffset>
          </wp:positionH>
          <wp:positionV relativeFrom="paragraph">
            <wp:posOffset>0</wp:posOffset>
          </wp:positionV>
          <wp:extent cx="3232800" cy="795600"/>
          <wp:effectExtent b="0" l="0" r="0" t="0"/>
          <wp:wrapNone/>
          <wp:docPr descr="Archivo:Logo DuocUC.svg - Wikipedia, la enciclopedia libre" id="920227040" name="image1.png"/>
          <a:graphic>
            <a:graphicData uri="http://schemas.openxmlformats.org/drawingml/2006/picture">
              <pic:pic>
                <pic:nvPicPr>
                  <pic:cNvPr descr="Archivo:Logo DuocUC.svg - Wikipedia, la enciclopedia libr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78.00000000000006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8.00000000000006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8.00000000000006" w:lineRule="auto"/>
    </w:pPr>
    <w:rPr>
      <w:i w:val="1"/>
      <w:iCs w:val="1"/>
      <w:color w:val="0f476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8.00000000000006" w:lineRule="auto"/>
    </w:pPr>
    <w:rPr>
      <w:color w:val="0f476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="278.00000000000006" w:lineRule="auto"/>
    </w:pPr>
    <w:rPr>
      <w:i w:val="1"/>
      <w:iCs w:val="1"/>
      <w:color w:val="595959"/>
      <w:sz w:val="24"/>
      <w:szCs w:val="24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DF6A9A"/>
    <w:pPr>
      <w:keepNext w:val="1"/>
      <w:keepLines w:val="1"/>
      <w:spacing w:after="0" w:before="40" w:line="278" w:lineRule="auto"/>
      <w:outlineLvl w:val="6"/>
    </w:pPr>
    <w:rPr>
      <w:rFonts w:cstheme="majorBidi" w:eastAsiaTheme="majorEastAsia"/>
      <w:color w:val="595959" w:themeColor="text1" w:themeTint="0000A6"/>
      <w:kern w:val="2"/>
      <w:sz w:val="24"/>
      <w:szCs w:val="24"/>
      <w:lang w:eastAsia="en-US" w:val="es-ES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DF6A9A"/>
    <w:pPr>
      <w:keepNext w:val="1"/>
      <w:keepLines w:val="1"/>
      <w:spacing w:after="0" w:line="278" w:lineRule="auto"/>
      <w:outlineLvl w:val="7"/>
    </w:pPr>
    <w:rPr>
      <w:rFonts w:cstheme="majorBidi" w:eastAsiaTheme="majorEastAsia"/>
      <w:i w:val="1"/>
      <w:iCs w:val="1"/>
      <w:color w:val="272727" w:themeColor="text1" w:themeTint="0000D8"/>
      <w:kern w:val="2"/>
      <w:sz w:val="24"/>
      <w:szCs w:val="24"/>
      <w:lang w:eastAsia="en-US" w:val="es-ES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DF6A9A"/>
    <w:pPr>
      <w:keepNext w:val="1"/>
      <w:keepLines w:val="1"/>
      <w:spacing w:after="0" w:line="278" w:lineRule="auto"/>
      <w:outlineLvl w:val="8"/>
    </w:pPr>
    <w:rPr>
      <w:rFonts w:cstheme="majorBidi" w:eastAsiaTheme="majorEastAsia"/>
      <w:color w:val="272727" w:themeColor="text1" w:themeTint="0000D8"/>
      <w:kern w:val="2"/>
      <w:sz w:val="24"/>
      <w:szCs w:val="24"/>
      <w:lang w:eastAsia="en-U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DF6A9A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DF6A9A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DF6A9A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DF6A9A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DF6A9A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DF6A9A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DF6A9A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DF6A9A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DF6A9A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DF6A9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DF6A9A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DF6A9A"/>
    <w:pPr>
      <w:spacing w:before="160" w:line="278" w:lineRule="auto"/>
      <w:jc w:val="center"/>
    </w:pPr>
    <w:rPr>
      <w:rFonts w:eastAsiaTheme="minorHAnsi"/>
      <w:i w:val="1"/>
      <w:iCs w:val="1"/>
      <w:color w:val="404040" w:themeColor="text1" w:themeTint="0000BF"/>
      <w:kern w:val="2"/>
      <w:sz w:val="24"/>
      <w:szCs w:val="24"/>
      <w:lang w:eastAsia="en-US" w:val="es-ES"/>
    </w:rPr>
  </w:style>
  <w:style w:type="character" w:styleId="CitaCar" w:customStyle="1">
    <w:name w:val="Cita Car"/>
    <w:basedOn w:val="Fuentedeprrafopredeter"/>
    <w:link w:val="Cita"/>
    <w:uiPriority w:val="29"/>
    <w:rsid w:val="00DF6A9A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DF6A9A"/>
    <w:pPr>
      <w:spacing w:line="278" w:lineRule="auto"/>
      <w:ind w:left="720"/>
      <w:contextualSpacing w:val="1"/>
    </w:pPr>
    <w:rPr>
      <w:rFonts w:eastAsiaTheme="minorHAnsi"/>
      <w:kern w:val="2"/>
      <w:sz w:val="24"/>
      <w:szCs w:val="24"/>
      <w:lang w:eastAsia="en-US" w:val="es-ES"/>
    </w:rPr>
  </w:style>
  <w:style w:type="character" w:styleId="nfasisintenso">
    <w:name w:val="Intense Emphasis"/>
    <w:basedOn w:val="Fuentedeprrafopredeter"/>
    <w:uiPriority w:val="21"/>
    <w:qFormat w:val="1"/>
    <w:rsid w:val="00DF6A9A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DF6A9A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 w:line="278" w:lineRule="auto"/>
      <w:ind w:left="864" w:right="864"/>
      <w:jc w:val="center"/>
    </w:pPr>
    <w:rPr>
      <w:rFonts w:eastAsiaTheme="minorHAnsi"/>
      <w:i w:val="1"/>
      <w:iCs w:val="1"/>
      <w:color w:val="0f4761" w:themeColor="accent1" w:themeShade="0000BF"/>
      <w:kern w:val="2"/>
      <w:sz w:val="24"/>
      <w:szCs w:val="24"/>
      <w:lang w:eastAsia="en-US" w:val="es-ES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DF6A9A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DF6A9A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DF6A9A"/>
    <w:pPr>
      <w:tabs>
        <w:tab w:val="center" w:pos="4252"/>
        <w:tab w:val="right" w:pos="8504"/>
      </w:tabs>
      <w:spacing w:after="0" w:line="240" w:lineRule="auto"/>
    </w:pPr>
    <w:rPr>
      <w:rFonts w:eastAsiaTheme="minorHAnsi"/>
      <w:kern w:val="2"/>
      <w:sz w:val="24"/>
      <w:szCs w:val="24"/>
      <w:lang w:eastAsia="en-US" w:val="es-ES"/>
    </w:rPr>
  </w:style>
  <w:style w:type="character" w:styleId="EncabezadoCar" w:customStyle="1">
    <w:name w:val="Encabezado Car"/>
    <w:basedOn w:val="Fuentedeprrafopredeter"/>
    <w:link w:val="Encabezado"/>
    <w:uiPriority w:val="99"/>
    <w:rsid w:val="00DF6A9A"/>
  </w:style>
  <w:style w:type="paragraph" w:styleId="Piedepgina">
    <w:name w:val="footer"/>
    <w:basedOn w:val="Normal"/>
    <w:link w:val="PiedepginaCar"/>
    <w:uiPriority w:val="99"/>
    <w:unhideWhenUsed w:val="1"/>
    <w:rsid w:val="00DF6A9A"/>
    <w:pPr>
      <w:tabs>
        <w:tab w:val="center" w:pos="4252"/>
        <w:tab w:val="right" w:pos="8504"/>
      </w:tabs>
      <w:spacing w:after="0" w:line="240" w:lineRule="auto"/>
    </w:pPr>
    <w:rPr>
      <w:rFonts w:eastAsiaTheme="minorHAnsi"/>
      <w:kern w:val="2"/>
      <w:sz w:val="24"/>
      <w:szCs w:val="24"/>
      <w:lang w:eastAsia="en-US" w:val="es-ES"/>
    </w:rPr>
  </w:style>
  <w:style w:type="character" w:styleId="PiedepginaCar" w:customStyle="1">
    <w:name w:val="Pie de página Car"/>
    <w:basedOn w:val="Fuentedeprrafopredeter"/>
    <w:link w:val="Piedepgina"/>
    <w:uiPriority w:val="99"/>
    <w:rsid w:val="00DF6A9A"/>
  </w:style>
  <w:style w:type="paragraph" w:styleId="Subtitle">
    <w:name w:val="Subtitle"/>
    <w:basedOn w:val="Normal"/>
    <w:next w:val="Normal"/>
    <w:pPr>
      <w:spacing w:line="278.00000000000006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chart" Target="charts/chart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3 -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192</c:v>
                </c:pt>
                <c:pt idx="1">
                  <c:v>192</c:v>
                </c:pt>
                <c:pt idx="2">
                  <c:v>192</c:v>
                </c:pt>
                <c:pt idx="3">
                  <c:v>192</c:v>
                </c:pt>
                <c:pt idx="4">
                  <c:v>192</c:v>
                </c:pt>
                <c:pt idx="5">
                  <c:v>192</c:v>
                </c:pt>
                <c:pt idx="6">
                  <c:v>192</c:v>
                </c:pt>
                <c:pt idx="7">
                  <c:v>192</c:v>
                </c:pt>
                <c:pt idx="8">
                  <c:v>192</c:v>
                </c:pt>
                <c:pt idx="9">
                  <c:v>192</c:v>
                </c:pt>
                <c:pt idx="10">
                  <c:v>192</c:v>
                </c:pt>
                <c:pt idx="11">
                  <c:v>192</c:v>
                </c:pt>
                <c:pt idx="12">
                  <c:v>192</c:v>
                </c:pt>
                <c:pt idx="13">
                  <c:v>192</c:v>
                </c:pt>
                <c:pt idx="14">
                  <c:v>192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312-4507-95DD-B705230BF66D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4</c:v>
                </c:pt>
                <c:pt idx="2">
                  <c:v>3</c:v>
                </c:pt>
                <c:pt idx="3">
                  <c:v>5</c:v>
                </c:pt>
                <c:pt idx="4">
                  <c:v>6</c:v>
                </c:pt>
                <c:pt idx="5">
                  <c:v>6</c:v>
                </c:pt>
                <c:pt idx="6">
                  <c:v>10</c:v>
                </c:pt>
                <c:pt idx="7">
                  <c:v>12</c:v>
                </c:pt>
                <c:pt idx="8">
                  <c:v>14</c:v>
                </c:pt>
                <c:pt idx="9">
                  <c:v>18</c:v>
                </c:pt>
                <c:pt idx="10">
                  <c:v>14</c:v>
                </c:pt>
                <c:pt idx="11">
                  <c:v>10</c:v>
                </c:pt>
                <c:pt idx="12">
                  <c:v>20</c:v>
                </c:pt>
                <c:pt idx="13">
                  <c:v>40</c:v>
                </c:pt>
                <c:pt idx="14">
                  <c:v>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312-4507-95DD-B705230BF6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192</c:v>
                </c:pt>
                <c:pt idx="1">
                  <c:v>188</c:v>
                </c:pt>
                <c:pt idx="2">
                  <c:v>185</c:v>
                </c:pt>
                <c:pt idx="3">
                  <c:v>180</c:v>
                </c:pt>
                <c:pt idx="4">
                  <c:v>174</c:v>
                </c:pt>
                <c:pt idx="5">
                  <c:v>168</c:v>
                </c:pt>
                <c:pt idx="6">
                  <c:v>158</c:v>
                </c:pt>
                <c:pt idx="7">
                  <c:v>146</c:v>
                </c:pt>
                <c:pt idx="8">
                  <c:v>132</c:v>
                </c:pt>
                <c:pt idx="9">
                  <c:v>114</c:v>
                </c:pt>
                <c:pt idx="10">
                  <c:v>100</c:v>
                </c:pt>
                <c:pt idx="11">
                  <c:v>90</c:v>
                </c:pt>
                <c:pt idx="12">
                  <c:v>70</c:v>
                </c:pt>
                <c:pt idx="13">
                  <c:v>30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312-4507-95DD-B705230BF66D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312-4507-95DD-B705230BF6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lkYPyEwqUdd24N4zpd/8L8I0qw==">CgMxLjAaIwoBMBIeChwIB0IYCgRQbGF5EhBBcmlhbCBVbmljb2RlIE1TOAByITFwc1ZxRS1GeFVUbGV2M3R1UDBtdW96RDRwUHdaeG43cw==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2025-11-11T01:05:00Z</dcterms:created>
  <dc:creator>IVAN . DIAZ VEGA</dc:creator>
</cp:coreProperties>
</file>