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  <w:ind w:firstLineChars="0" w:firstLine="0" w:leftChars="0" w:left="0"/>
      </w:pPr>
      <w:r>
        <w:rPr>
          <w:rFonts w:ascii="Times New Roman" w:hAnsi="Times New Roman" w:cs="Times New Roman" w:eastAsia="黑体"/>
          <w:b/>
          <w:i w:val="0"/>
          <w:color w:val="000000"/>
          <w:sz w:val="36"/>
          <w:lang w:val="en-US" w:eastAsia="zh-CN"/>
        </w:rPr>
        <w:t>基于隐含波动率的上期所黄金期权开盘价格估算</w:t>
      </w:r>
    </w:p>
    <w:p>
      <w:pPr>
        <w:spacing w:before="0" w:after="120" w:line="360" w:lineRule="auto"/>
        <w:jc w:val="center"/>
        <w:ind w:firstLineChars="0" w:firstLine="0" w:leftChars="0" w:left="0"/>
      </w:pPr>
      <w:r>
        <w:rPr>
          <w:rFonts w:ascii="Times New Roman" w:hAnsi="Times New Roman" w:cs="Times New Roman" w:eastAsia="黑体"/>
          <w:b/>
          <w:i w:val="0"/>
          <w:color w:val="000000"/>
          <w:sz w:val="32"/>
          <w:lang w:val="en-US" w:eastAsia="zh-CN"/>
        </w:rPr>
        <w:t>投资策略与实证分析</w:t>
      </w:r>
    </w:p>
    <w:p>
      <w:pPr>
        <w:spacing w:before="120" w:after="240" w:line="360" w:lineRule="auto"/>
        <w:jc w:val="center"/>
        <w:ind w:firstLineChars="0" w:firstLine="0" w:leftChars="0" w:left="0"/>
      </w:pPr>
      <w:r>
        <w:rPr>
          <w:rFonts w:ascii="Times New Roman" w:hAnsi="Times New Roman" w:cs="Times New Roman" w:eastAsia="黑体"/>
          <w:b/>
          <w:i w:val="0"/>
          <w:color w:val="000000"/>
          <w:sz w:val="32"/>
          <w:lang w:val="en-US" w:eastAsia="zh-CN"/>
        </w:rPr>
        <w:t>文献综述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上期所黄金期权于2019年12月20日上市，标的是上期所黄金期货。期权价格由期货价格、行权价、剩余期限、利率和波动率共同决定，其中波动率无法直接观察，需要由期权价格反推为隐含波动率。由此产生的研究问题是：能否用已经形成的隐含波动率，配合开盘时新的期货价格，估算期权开盘时的理论价格，并据此构造可交易的策略。围绕这一问题，已有文献分布在期货期权定价、隐含波动率的信息含量、波动率曲面、错误定价策略和开盘价格形成五个方面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一、期货期权定价模型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Black和Scholes给出了无分红股票欧式期权的解析定价公式，其核心假设包括标的价格服从几何布朗运动、波动率为常数、可以连续交易并对冲、无交易成本[1]。Merton把连续红利纳入同一框架，说明标的的持有收益会进入定价公式[2]。商品期货期权的标的是期货合约，期货价格已经包含持有成本，Black因此把定价变量由现货价格改为期货价格，得到期货期权的Black公式，权利金仍按无风险利率贴现[3]。上期所黄金期权的标的是黄金期货，欧式阶段的基准模型是Black公式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提前行权使美式期权没有同样简洁的闭式解。Whaley给出了美式期货期权的解析近似，并用市场数据检验提前行权价值[4]。Barone-Adesi和Whaley用二次方程近似计算美式期权价格，计算速度适合大批量合约[5]。Cox、Ross和Rubinstein的二叉树提供了可以同时处理美式行权和离散股利的数值基准[6]。上期所黄金期权上市时为欧式；根据上期发〔2020〕113号，2021年11月16日起新挂牌的AU2212及以后月份改为美式，此前月份仍按欧式执行[7-8]。样本若跨越这一时点，欧式合约与美式合约需要分开定价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常数波动率无法解释不同行权价上隐含波动率的差异。Hull和White讨论了随机波动率下的期权定价，Heston给出了波动率本身服从均值回复过程时的半闭式解[9-10]。这类模型解释了波动率微笑的来源，参数也需要整条曲面才能稳定估计。对开盘价估算而言，前一交易日已经估计好的隐含波动率可以直接代入Black公式或美式近似，随机波动率模型更适合作为稳健性检验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交易所自身的定价实践与上述模型一致。黄金期权挂牌基准价采用Black欧式期货期权模型，利率取一年期存款利率，波动率取标的期货主力合约90日历史波动率[7]。非最后交易日，交易所根据隐含波动率确定理论价，作为当日结算价；最后交易日则按内在价值结算。结算价是收盘后的制度价格，用于保证金和涨跌停，开盘价才是投资者可以成交的价格。二者都依赖“波动率加定价模型”，用途不同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二、隐含波动率的信息含量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波动率预测有两条路线。一条使用历史收益率，Engle的ARCH和Bollerslev的GARCH用过去的波动聚集预测未来波动[11-12]。另一条把期权价格倒推为隐含波动率，使其包含交易者对未来波动的判断。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Christensen和Prabhala指出，早期研究因为样本重叠和测量误差低估了隐含波动率的作用；在修正这些问题后，指数期权隐含波动率对未来实现波动率具有预测力，并且包含历史波动率中的信息[13]。Poon和Granger综述了金融市场波动率预测文献，基本结论是隐含波动率通常优于历史波动率，但往往是有偏的预测[14]。Szakmary、Ors、Kim和Davidson把检验扩展到35个期货期权市场。期货与期权在同一市场同时收盘，减轻了股票期权研究中现货与期权不同步的问题。他们发现隐含波动率仍有偏，但预测能力总体上好于历史波动率和GARCH[15]。上期所黄金期货与黄金期权同样在同一交易所交易，这一研究设计可以直接借鉴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预测期限和交易活跃程度会改变两类方法的相对表现。郑振龙和黄薏舟用恒生指数期权比较GARCH(1,1)与隐含波动率：预测未来一周时GARCH所含信息更多，预测未来一个月时隐含波动率更优；期权成交越活跃，隐含波动率越能反映市场信息[16]。黄金期权近月合约成交集中，远月合约稀疏，不同月份的隐含波动率不宜赋予同样的权重。开盘价估算的间隔只有一夜，属于极短期限，因此有必要把前收盘隐含波动率、历史波动率和GARCH预测同时作为理论价格的输入，比较哪一种更接近实际开盘价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与黄金期货期权直接相关的证据来自Neely。他发现黄金期货期权的隐含波动率是实现波动率的有偏预测，持续性和估计误差可以解释其中相当一部分偏差；统计检验拒绝隐含波动率相对于计量预测的信息有效，但Delta对冲后的盈亏表明，计量预测并没有额外的经济价值[17]。这一区分对投资策略研究是决定性的：回归拟合优度高，不等于扣掉价差、手续费和对冲成本之后还能赚钱。本文的评价标准应是对冲后的策略损益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三、波动率曲面与理论价格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单一隐含波动率对应“波动率是常数”的假设。Dumas、Fleming和Whaley用行权价和期限的确定性函数拟合隐含波动率，样本内可以描述微笑，样本外对冲效果有限[18]。开盘估值如果只取一个平值隐含波动率，深实值和深虚值合约会留下系统性偏差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标的价格隔夜跳动之后，昨日的波动率曲线如何平移，决定了今日理论价。Derman区分了三种常见规则：粘性行权价（sticky strike），同一行权价保持昨日的隐含波动率；粘性Delta（sticky delta），同一Delta或同一在值程度保持昨日的隐含波动率；以及局部波动率随标的价格移动[19]。黄金期货开盘常常相对昨日结算价出现缺口。按粘性在值程度，把昨日曲面重新标到今日开盘的期货价格上，再代回定价公式，就得到各行权价的理论开盘价。这是“基于隐含波动率估算开盘价”的直接含义。隐含波动率必须来自前一交易日或其他合约，再用它估算当前合约的价格；用同一时刻的价格反推波动率，再代回同一价格，得到的只能是原价格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曲面的参数模型便于在合约之间插值。Hagan、Kumar、Lesniewski和Woodward提出SABR模型，由远期价格和波动率的随机过程近似推出隐含波动率微笑[20]。Gatheral和Jacquier在SVI参数化上加入无套利约束，形成可以描述整张曲面的SSVI[21]。张不凡以上期所铜期权2020年1月至9月的日数据，用Black模型提取隐含波动率，比较二次多项式、SABR、SSVI和VGVV。二次多项式计算稳定，但丢失期限结构细节；SABR在不同涨跌环境下的拟合精度更高；SSVI对平值和浅虚值足够用，深度虚值误差更大，参数也更稳定[22]。铜期权与黄金期权同属上期所商品期货期权，流动性结构相近：近月活跃，第四个月之后成交稀少。黄金期权开盘价估算宜先用平值附近合约和按在值程度插值，再把SABR或SSVI作为稳健性检验。张不凡剔除剩余期限不超过5个交易日、价格触及最小变动价位以及违反价格上下限的合约，这一筛选适用于黄金期权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黄金期权上市初期的曲面形态已有记录。世界黄金协会根据2020年1月10日前后最活跃的2020年6月合约观察到，看涨期权隐含波动率高于看跌期权，曲线向右偏，与当时的避险需求一致[23]。周蕊以上期所黄金期权讨论做市商的波动率策略，把曲面变化分成水平移动、沿行权价轴平移和围绕平值的扭转，并指出实务中应保持Delta中性，再选择是否保留Vega敞口；文中用2025年4月黄金期权2506合约约两周的行情说明偏斜交易[24]。该文说明黄金期权曲面可以交易，提供的是做市和案例，尚未给出以开盘理论价为信号、跨多年的损益检验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四、基于定价偏离的交易策略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策略收益可能来自两类不同的机制。第一类是隐含波动率相对随后实现波动率偏高或偏低，卖出期权并做Delta对冲，赚取的是波动率风险溢价。Bakshi和Kapadia发现，指数期权在Delta对冲后的平均收益为负，与波动率风险溢价为负一致[25]。第二类是同一时点上，个别合约相对曲面或相对理论价偏离，偏离回归带来价差收益。Goyal和Saretto按历史实现波动率与隐含波动率之差对期权排序，买入差值高的组合、卖出差值低的组合，获得了显著的截面收益[26]。前者是风险补偿，后者才是错误定价。开盘价策略要报告对冲后收益，并与单纯卖出波动率的基准比较，否则正收益可能只是风险溢价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可预测并不等于可交易。Harvey和Whaley发现标普100指数期权的隐含波动率变化可以被预测，相应的交易利润会被买卖价差和交易成本抵消[27]。开盘集合竞价和开盘后最初几分钟的价差通常宽于日内活跃时段，黄金期权手续费、冲击成本和期货对冲成本都要进入损益。李雪飞、赵冰和严高剑用历史波动率作为条件变量，比较上证50ETF期权不同期限的理论波动率与实际隐含波动率，买入被低估月份、卖出被高估月份，并配成Delta中性。在其资金占用和交易成本假设下，2015年2月至2018年4月该策略年化收益约为13%；2016年以后定价效率提高，收益下降[28]。黄金期权2020年上市初期流动性较差，若全样本收益集中在前一两年，应把样本按年份拆开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国内直接研究上期所黄金期权策略的文献很少。杨阳和马超使用AU2006全部认购期权2019年12月20日至2020年5月25日的5分钟价格，对通过协整检验的合约对做配对交易，发现价差在形成期与交易期之间可以回归，高频数据比日数据提供更多交易机会[29]。该文的信号是合约之间的统计均衡，样本只有一个期权月份、约五个月，没有使用隐含波动率计算理论开盘价。马腾、张晓燕和李志勇用中国场内金融期权构造波动率指数、方差风险溢价和波动率偏度，发现这些指标能够预测股票市场未来超额收益，并从信息含量和卖空限制两个方面解释价格发现[30]。这说明中国场内期权价格含有信息，证据来自股指和ETF期权对股票收益的预测，商品期权开盘价仍是另一项检验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五、开盘价格形成与跨市场信息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开盘价由集合竞价产生，其功能是把休市期间的信息一次纳入价格。Amihud和Mendelson比较了不同开盘机制下的收益和波动，说明开盘交易制度本身会影响价格行为[31]。Stoll和Whaley发现股票开盘阶段的波动高于收盘[32]。Madhavan和Panchapagesan观察集合竞价内部的订单，说明竞价过程逐步揭示隔夜信息，参考价格和订单不平衡会影响最终开盘价[33]。这些结论来自股票市场，对期货期权的启发是：开盘价可能暂时偏离连续交易阶段的价格，偏离是否大到能覆盖成本，需要单独检验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黄金期权每天有两个开盘。日盘9:00开盘前有8:55至9:00的集合竞价，此前夜盘已于21:00至次日2:30运行；夜盘21:00开盘则要消化日盘收盘后的外盘行情，周一夜盘还包含周末缺口。上海期货交易所的市场资料显示，2019年黄金期货与COMEX黄金期货价格的相关系数为0.989，与上海黄金交易所黄金T+D的相关系数为0.998[34]。期货开盘价已经吸收大部分外盘信息。若期权集合竞价相对滞后，期权开盘价就会偏离由新期货价格和原有隐含波动率算出的理论价。这一偏离是可交易对象。上金所Au99.99询价期权使用报价商报送的Black-76隐含波动率曲线，参与者和交易方式都与上期所集中竞价不同，不宜放入同一样本。</w:t>
      </w:r>
    </w:p>
    <w:p>
      <w:pPr>
        <w:widowControl/>
        <w:spacing w:before="240" w:after="120" w:line="360" w:lineRule="auto"/>
        <w:jc w:val="left"/>
        <w:ind w:firstLineChars="0" w:firstLine="0" w:leftChars="0" w:left="0"/>
        <w:outlineLvl w:val="1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lang w:val="en-US" w:eastAsia="zh-CN"/>
        </w:rPr>
        <w:t>六、评述与本文的位置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定价模型、隐含波动率的预测力和波动率曲面都已有成熟结果。期货期权应以Black公式为基准，美式合约需要提前行权调整；隐含波动率对未来波动率有预测力，但是有偏的，经济价值要用对冲后损益来判断；曲面随在值程度和期限变化，标的价格跳开后要明确昨日波动率如何平移。国内策略文献集中在50ETF期权的期限结构和曲面偏离，商品期权的曲面研究以铜期权日数据为主，黄金期权已有的策略检验是短样本配对交易。把前一交易日隐含波动率曲面、当日黄金期货开盘价和黄金期权开盘价连接起来，按欧式与美式分段，并在扣除价差和手续费后评价的实证，现有文献还没有完成。</w:t>
      </w:r>
    </w:p>
    <w:p>
      <w:pPr>
        <w:widowControl/>
        <w:spacing w:before="0" w:after="0" w:line="360" w:lineRule="auto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lang w:val="en-US" w:eastAsia="zh-CN"/>
        </w:rPr>
        <w:t>据此，后文的实证可以按以下设计展开。每个开盘时点，用前一交易日收盘的隐含波动率曲面，按粘性在值程度对应到当日期货开盘价，欧式合约用Black公式、美式合约用Barone-Adesi和Whaley近似，得到理论开盘价。实际开盘价低于理论价则买入，高于理论价则卖出，并用黄金期货对冲Delta。只有偏离超过买卖价差、手续费和预设阈值才开仓。对照输入包括单一平值隐含波动率、90日历史波动率和GARCH预测。样本区分夜盘开盘与日盘开盘、近月与远月、平值与翼部，并按行权方式变更和上市后的年份分段，以避免收益只来自早期流动性不足。</w:t>
      </w:r>
    </w:p>
    <w:p>
      <w:pPr>
        <w:widowControl/>
        <w:spacing w:before="240" w:after="240" w:line="360" w:lineRule="auto"/>
        <w:jc w:val="center"/>
        <w:ind w:firstLineChars="0" w:firstLine="0" w:leftChars="0" w:left="0"/>
        <w:outlineLvl w:val="0"/>
      </w:pPr>
      <w:r>
        <w:rPr>
          <w:rFonts w:ascii="Times New Roman" w:hAnsi="Times New Roman" w:cs="Times New Roman" w:eastAsia="黑体"/>
          <w:b/>
          <w:i w:val="0"/>
          <w:color w:val="000000"/>
          <w:sz w:val="30"/>
          <w:lang w:val="en-US" w:eastAsia="zh-CN"/>
        </w:rPr>
        <w:t>参考文献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[1] BLACK F, SCHOLES M. The pricing of options and corporate liabilities[J]. Journal of Political Economy, 1973, 81(3): 637-654.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[2] MERTON R C. Theory of rational option pricing[J]. Bell Journal of Economics and Management Science, 1973, 4(1): 141-183.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[3] BLACK F. The pricing of commodity contracts[J]. Journal of Financial Economics, 1976, 3(1-2): 167-179.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[4] WHALEY R E. Valuation of American futures options: theory and empirical tests[J]. Journal of Finance, 1986, 41(1): 127-150.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[5] BARONE-ADESI G, WHALEY R E. Efficient analytic approximation of American option values[J]. Journal of Finance, 1987, 42(2): 301-320.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[6] COX J C, ROSS S A, RUBINSTEIN M. Option pricing: a simplified approach[J]. Journal of Financial Economics, 1979, 7(3): 229-263.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[7] 上海期货交易所. 关于黄金期权上市交易有关事项的通知: 上期发〔2019〕365号[A]. 2019.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[8] 上海期货交易所. 上海期货交易所阴极铜、天然橡胶及黄金期货期权合约修订案: 上期发〔2020〕113号[A]. 2020.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[9] HULL J, WHITE A. The pricing of options on assets with stochastic volatilities[J]. Journal of Finance, 1987, 42(2): 281-300.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[10] HESTON S L. A closed-form solution for options with stochastic volatility with applications to bond and currency options[J]. Review of Financial Studies, 1993, 6(2): 327-343.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[11] ENGLE R F. Autoregressive conditional heteroscedasticity with estimates of the variance of United Kingdom inflation[J]. Econometrica, 1982, 50(4): 987-1007.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[12] BOLLERSLEV T. Generalized autoregressive conditional heteroskedasticity[J]. Journal of Econometrics, 1986, 31(3): 307-327.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[13] CHRISTENSEN B J, PRABHALA N R. The relation between implied and realized volatility[J]. Journal of Financial Economics, 1998, 50(2): 125-150.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[14] POON S H, GRANGER C W J. Forecasting volatility in financial markets: a review[J]. Journal of Economic Literature, 2003, 41(2): 478-539.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[15] SZAKMARY A, ORS E, KIM J K, DAVIDSON W N. The predictive power of implied volatility: evidence from 35 futures markets[J]. Journal of Banking &amp; Finance, 2003, 27(11): 2151-2175.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[16] 郑振龙, 黄薏舟. 波动率预测: GARCH模型与隐含波动率[J]. 数量经济技术经济研究, 2010(1): 140-150.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[17] NEELY C J. Implied volatility from options on gold futures: do statistical forecasts add value or simply paint the lilly?[R]. St. Louis: Federal Reserve Bank of St. Louis, 2004.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[18] DUMAS B, FLEMING J, WHALEY R E. Implied volatility functions: empirical tests[J]. Journal of Finance, 1998, 53(6): 2059-2106.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[19] DERMAN E. Regimes of volatility[J]. Risk, 1999, 12(4): 55-59.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[20] HAGAN P S, KUMAR D, LESNIEWSKI A S, WOODWARD D E. Managing smile risk[J]. Wilmott, 2002(1): 84-108.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[21] GATHERAL J, JACQUIER A. Arbitrage-free SVI volatility surfaces[J]. Quantitative Finance, 2014, 14(1): 59-71.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[22] 张不凡. 铜期权隐含波动率曲面拟合方法比较[J]. 中国期货, 2021(2).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[23] JIA R. The first exchange-traded gold option in China[EB/OL]. (2020-01)[2026-10-27]. https://www.gold.org/goldhub/gold-focus/2020/01/first-exchange-traded-gold-option-china.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[24] 周蕊. 做市商期权波动率策略与风险管理[J]. 期货与金融衍生品, 2026(2).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[25] BAKSHI G, KAPADIA N. Delta-hedged gains and the negative market volatility risk premium[J]. Review of Financial Studies, 2003, 16(2): 527-566.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[26] GOYAL A, SARETTO A. Cross-section of option returns and volatility[J]. Journal of Financial Economics, 2009, 94(2): 310-326.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[27] HARVEY C R, WHALEY R E. Market volatility prediction and the efficiency of the S&amp;P 100 index option market[J]. Journal of Financial Economics, 1992, 31(1): 43-73.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[28] 李雪飞, 赵冰, 严高剑. 波动率期限结构分析及在期权定价交易中的应用[R]. 北京: 中信证券, 2019.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[29] 杨阳, 马超. 基于配对交易的上期所黄金期权套利策略研究[J]. 2024.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[30] 马腾, 张晓燕, 李志勇. 期权隐含信息和价格发现: 基于中国场内期权市场的研究[J]. 金融研究, 2024(1): 169.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[31] AMIHUD Y, MENDELSON H. Trading mechanisms and stock returns: an empirical investigation[J]. Journal of Finance, 1987, 42(3): 533-553.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[32] STOLL H R, WHALEY R E. Stock market structure and volatility[J]. Review of Financial Studies, 1990, 3(1): 37-71.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[33] MADHAVAN A, PANCHAPAGESAN V. Price discovery in auction markets: a look inside the black box[J]. Review of Financial Studies, 2000, 13(3): 627-658.</w:t>
      </w:r>
    </w:p>
    <w:p>
      <w:pPr>
        <w:spacing w:before="0" w:after="0" w:lineRule="exact" w:line="400"/>
        <w:jc w:val="both"/>
        <w:ind w:leftChars="200" w:left="480" w:hangingChars="20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[34] 上海期货交易所. 我国黄金期货市场概况[R]. 上海: 上海期货交易所, 2020.</w:t>
      </w:r>
    </w:p>
    <w:p>
      <w:pPr>
        <w:spacing w:before="360" w:after="120" w:lineRule="exact" w:line="400"/>
        <w:jc w:val="left"/>
        <w:ind w:firstLineChars="0" w:firstLine="0" w:leftChars="0" w:left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  <w:lang w:val="en-US" w:eastAsia="zh-CN"/>
        </w:rPr>
        <w:t>附注（提交前核对，不必放入正文）</w:t>
      </w:r>
    </w:p>
    <w:p>
      <w:pPr>
        <w:spacing w:before="0" w:after="0" w:lineRule="exact" w:line="400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以下三条文献的刊名、期次或止页，交稿前请用知网或期刊封面核对后替换：</w:t>
      </w:r>
    </w:p>
    <w:p>
      <w:pPr>
        <w:spacing w:before="0" w:after="0" w:lineRule="exact" w:line="400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（1）张不凡一文刊于中国期货业协会主办刊物，正文暂记为《中国期货》2021年第2期，期次以封面为准。</w:t>
      </w:r>
    </w:p>
    <w:p>
      <w:pPr>
        <w:spacing w:before="0" w:after="0" w:lineRule="exact" w:line="400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（2）周蕊一文见《期货与金融衍生品》2026年第2期，页码请按下载的PDF补上。</w:t>
      </w:r>
    </w:p>
    <w:p>
      <w:pPr>
        <w:spacing w:before="0" w:after="0" w:lineRule="exact" w:line="400"/>
        <w:jc w:val="both"/>
        <w:ind w:firstLineChars="200" w:firstLine="480" w:leftChars="0" w:left="0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  <w:lang w:val="en-US" w:eastAsia="zh-CN"/>
        </w:rPr>
        <w:t>（3）杨阳、马超一文目前可以确定作者、题目和2024年摘要，期刊名称与起止页码请用知网全文替换。马腾、张晓燕、李志勇一文起始页为169，止页请按《金融研究》2024年第1期核对。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 w:lineRule="exact" w:line="360"/>
      <w:jc w:val="center"/>
      <w:ind w:firstLineChars="0" w:firstLine="0" w:leftChars="0" w:left="0"/>
    </w:pPr>
    <w:r>
      <w:rPr>
        <w:rFonts w:ascii="Times New Roman" w:hAnsi="Times New Roman" w:cs="Times New Roman" w:eastAsia="宋体"/>
        <w:b w:val="0"/>
        <w:i w:val="0"/>
        <w:color w:val="000000"/>
        <w:sz w:val="21"/>
        <w:lang w:val="en-US" w:eastAsia="zh-CN"/>
      </w:rPr>
      <w:t xml:space="preserve">— </w:t>
    </w:r>
    <w:r>
      <w:rPr>
        <w:rFonts w:ascii="Times New Roman" w:hAnsi="Times New Roman" w:cs="Times New Roman" w:eastAsia="宋体"/>
        <w:b w:val="0"/>
        <w:i w:val="0"/>
        <w:color w:val="000000"/>
        <w:sz w:val="21"/>
        <w:lang w:val="en-US" w:eastAsia="zh-CN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宋体"/>
        <w:b w:val="0"/>
        <w:i w:val="0"/>
        <w:color w:val="000000"/>
        <w:sz w:val="21"/>
        <w:lang w:val="en-US" w:eastAsia="zh-CN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Rule="exact" w:line="360"/>
      <w:jc w:val="center"/>
      <w:ind w:firstLineChars="0" w:firstLine="0" w:leftChars="0" w:left="0"/>
      <w:pBdr>
        <w:bottom w:val="single" w:sz="6" w:space="1" w:color="000000"/>
      </w:pBdr>
    </w:pPr>
    <w:r>
      <w:rPr>
        <w:rFonts w:ascii="Times New Roman" w:hAnsi="Times New Roman" w:cs="Times New Roman" w:eastAsia="宋体"/>
        <w:b w:val="0"/>
        <w:i w:val="0"/>
        <w:color w:val="000000"/>
        <w:sz w:val="18"/>
        <w:lang w:val="en-US" w:eastAsia="zh-CN"/>
      </w:rPr>
      <w:t>基于隐含波动率的上期所黄金期权开盘价格估算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基于隐含波动率的上期所黄金期权开盘价格估算：文献综述</dc:title>
  <dc:subject>文献综述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毕业论文</cp:category>
  <dc:language>zh-CN</dc:language>
</cp:coreProperties>
</file>