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b/>
          <w:bCs/>
          <w:sz w:val="32"/>
          <w:szCs w:val="32"/>
        </w:rPr>
        <w:t xml:space="preserve">具体实施方式</w:t>
      </w:r>
    </w:p>
    <w:p>
      <w:pPr>
        <w:spacing w:after="0" w:before="0" w:line="360"/>
        <w:ind w:firstLine="480"/>
      </w:pPr>
      <w:r>
        <w:rPr>
          <w:sz w:val="24"/>
          <w:szCs w:val="24"/>
        </w:rPr>
        <w:t xml:space="preserve">[0001]下面结合附图与具体实施例对本发明作进一步详细阐述。需要说明的是，在不冲突的情况下，本发明的实施例及实施例中的特征可以相互组合。本发明所述方法既可部署于独立的头戴式虚拟现实设备，也可部署于个人计算机、平板计算机与云端服务器协同构成的分布式系统中，凡依据本发明的技术方案进行的等效替换与参数调整，均应落入本发明的保护范围。</w:t>
      </w:r>
    </w:p>
    <w:p>
      <w:pPr>
        <w:spacing w:after="0" w:before="0" w:line="360"/>
        <w:ind w:firstLine="480"/>
      </w:pPr>
      <w:r>
        <w:rPr>
          <w:sz w:val="24"/>
          <w:szCs w:val="24"/>
        </w:rPr>
        <w:t xml:space="preserve">[0002]参见图1，本发明实施例提供一种焦虑心理状态自适应调节方法，该方法面向焦虑心理整合正念艺术疗愈活动的干预需求，整体呈现五层递进的闭环架构：在数据采集层，通过多源异构数据融合技术，采集轻量化心理量表与核心生理指标，并完成主客观状态差值的实时演算；在状态评估层，利用梯度提升决策树（GBDT）特征筛选与极端梯度提升分类器（XGBoost）构成的两阶段组合模型对融合特征进行压力等级量化；在多模态干预层，依托视觉感知网络与大语言模型的深度学习框架对曼陀罗绘画特征进行语义解析，并据此驱动虚拟疗愈空间的视听触多模态反馈；在决策调度层，通过约束强化学习驱动干预模块的组合优化，进行安全约束下的干预路径自适应演进与高负荷状态下的柔性干预熔断；在反馈评估层，将本轮干预的实际效果回传至状态评估与决策调度环节，完成参与者画像的在线更新。上述五层首尾相接，最终形成从数据采集、状态评估、正念艺术疗愈活动再到效果反馈与评估的深度耦合闭环。以下对各步骤的具体实施方式进行详细说明。</w:t>
      </w:r>
    </w:p>
    <w:p>
      <w:pPr>
        <w:spacing w:after="120" w:before="240" w:line="360"/>
      </w:pPr>
      <w:r>
        <w:rPr>
          <w:b/>
          <w:bCs/>
          <w:sz w:val="24"/>
          <w:szCs w:val="24"/>
        </w:rPr>
        <w:t xml:space="preserve">步骤S1，多源异构干预数据的采集与预处理。</w:t>
      </w:r>
    </w:p>
    <w:p>
      <w:pPr>
        <w:spacing w:after="0" w:before="0" w:line="360"/>
        <w:ind w:firstLine="480"/>
      </w:pPr>
      <w:r>
        <w:rPr>
          <w:sz w:val="24"/>
          <w:szCs w:val="24"/>
        </w:rPr>
        <w:t xml:space="preserve">[0003]在本发明的一个实施例中，异构干预数据的采集贴合正念与艺术疗愈活动的动态实施逻辑。具体而言，系统获取的数据源涵盖轻量化心理量表给出的初始主观评估向量、穿戴式传感设备记录的核心生理特征时序流，以及实时交互过程中产生的视觉与行为反馈特征三类。这三类数据在采样频率、模态维度与语义表征上呈现显著的异构特性：量表数据为低频静态离散数据，生理信号为高频连续时序数据，行为数据为事件驱动的半结构化数据。三者从主观认知与客观躯体唤醒两个独立且互补的观测视角，精准刻画参与者在单次疗愈周期内的焦虑状态演变轨迹，从而为后续的主客观状态差值演算、特征筛选与压力分级提供完备的信息基座。</w:t>
      </w:r>
    </w:p>
    <w:p>
      <w:pPr>
        <w:spacing w:after="0" w:before="0" w:line="360"/>
        <w:ind w:firstLine="480"/>
      </w:pPr>
      <w:r>
        <w:rPr>
          <w:sz w:val="24"/>
          <w:szCs w:val="24"/>
        </w:rPr>
        <w:t xml:space="preserve">[0004]具体地，在干预活动初始阶段（记为步骤S11），系统通过数字化交互界面向参与者下发缩减版的状态-特质焦虑量表（STAI-S、STAI-T）与广泛性焦虑量表（GAD-7）。其中，STAI-S包含20个条目、采用4级计分，用于刻画瞬时的状态焦虑水平；STAI-T包含20个条目、采用4级计分，用于刻画相对稳定的特质焦虑水平；GAD-7包含7个条目、采用0至3分计分，用于筛查广泛性焦虑症状的严重程度。系统对三类量表得分进行归一化加权，计算初始焦虑负荷指数，以此建立参与者进入系统干预前的心理状态基线，如式（1-1）所示：</w:t>
      </w:r>
    </w:p>
    <w:p>
      <w:pPr>
        <w:tabs>
          <w:tab w:val="center" w:pos="4513"/>
          <w:tab w:val="right" w:pos="8826"/>
        </w:tabs>
        <w:spacing w:after="120" w:before="120" w:line="360"/>
        <w:jc w:val="left"/>
      </w:pPr>
      <m:oMath>
        <m:sSub>
          <m:sSubPr/>
          <m:e>
            <m:r>
              <m:t>I</m:t>
            </m:r>
          </m:e>
          <m:sub>
            <m:r>
              <m:t>base</m:t>
            </m:r>
          </m:sub>
        </m:sSub>
        <m:r>
          <m:t> = </m:t>
        </m:r>
        <m:d>
          <m:dPr>
            <m:begChr m:val="["/>
            <m:endChr m:val="]"/>
          </m:dPr>
          <m:e>
            <m:sSub>
              <m:sSubPr/>
              <m:e>
                <m:r>
                  <m:t>w</m:t>
                </m:r>
              </m:e>
              <m:sub>
                <m:r>
                  <m:t>s</m:t>
                </m:r>
              </m:sub>
            </m:sSub>
            <m:r>
              <m:t> ⋅ </m:t>
            </m:r>
            <m:sSub>
              <m:sSubPr/>
              <m:e>
                <m:r>
                  <m:t>s</m:t>
                </m:r>
              </m:e>
              <m:sub>
                <m:r>
                  <m:t>S</m:t>
                </m:r>
              </m:sub>
            </m:sSub>
            <m:r>
              <m:t> + </m:t>
            </m:r>
            <m:sSub>
              <m:sSubPr/>
              <m:e>
                <m:r>
                  <m:t>w</m:t>
                </m:r>
              </m:e>
              <m:sub>
                <m:r>
                  <m:t>t</m:t>
                </m:r>
              </m:sub>
            </m:sSub>
            <m:r>
              <m:t> ⋅ </m:t>
            </m:r>
            <m:sSub>
              <m:sSubPr/>
              <m:e>
                <m:r>
                  <m:t>s</m:t>
                </m:r>
              </m:e>
              <m:sub>
                <m:r>
                  <m:t>T</m:t>
                </m:r>
              </m:sub>
            </m:sSub>
            <m:r>
              <m:t> + </m:t>
            </m:r>
            <m:sSub>
              <m:sSubPr/>
              <m:e>
                <m:r>
                  <m:t>w</m:t>
                </m:r>
              </m:e>
              <m:sub>
                <m:r>
                  <m:t>g</m:t>
                </m:r>
              </m:sub>
            </m:sSub>
            <m:r>
              <m:t> ⋅ </m:t>
            </m:r>
            <m:sSub>
              <m:sSubPr/>
              <m:e>
                <m:r>
                  <m:t>s</m:t>
                </m:r>
              </m:e>
              <m:sub>
                <m:r>
                  <m:t>G</m:t>
                </m:r>
              </m:sub>
            </m:sSub>
          </m:e>
        </m:d>
        <m:r>
          <m:t> / </m:t>
        </m:r>
        <m:d>
          <m:dPr>
            <m:begChr m:val="["/>
            <m:endChr m:val="]"/>
          </m:dPr>
          <m:e>
            <m:sSub>
              <m:sSubPr/>
              <m:e>
                <m:r>
                  <m:t>w</m:t>
                </m:r>
              </m:e>
              <m:sub>
                <m:r>
                  <m:t>s</m:t>
                </m:r>
              </m:sub>
            </m:sSub>
            <m:r>
              <m:t> + </m:t>
            </m:r>
            <m:sSub>
              <m:sSubPr/>
              <m:e>
                <m:r>
                  <m:t>w</m:t>
                </m:r>
              </m:e>
              <m:sub>
                <m:r>
                  <m:t>t</m:t>
                </m:r>
              </m:sub>
            </m:sSub>
            <m:r>
              <m:t> + </m:t>
            </m:r>
            <m:sSub>
              <m:sSubPr/>
              <m:e>
                <m:r>
                  <m:t>w</m:t>
                </m:r>
              </m:e>
              <m:sub>
                <m:r>
                  <m:t>g</m:t>
                </m:r>
              </m:sub>
            </m:sSub>
          </m:e>
        </m:d>
      </m:oMath>
      <w:r>
        <w:t xml:space="preserve">	（1-1）</w:t>
      </w:r>
    </w:p>
    <w:p>
      <w:pPr>
        <w:spacing w:after="0" w:before="0" w:line="360"/>
        <w:ind w:firstLine="480"/>
      </w:pPr>
      <w:r>
        <w:rPr>
          <w:sz w:val="24"/>
          <w:szCs w:val="24"/>
        </w:rPr>
        <w:t xml:space="preserve">[0005]式（1-1）中，s_S、s_T、s_G分别为STAI-S、STAI-T与GAD-7的标准化得分，w_s、w_t、w_g为依据量表信度与临床灵敏度预设的权重系数，本发明一个实施例中取w_s=0.35、w_t=0.25、w_g=0.40，权重在模型训练阶段可通过验证集上的分级准确率进行网格寻优。初始焦虑负荷指数I_base越高，表明参与者进入疗愈时的焦虑基线越重，系统据此对初始虚拟环境的刺激强度进行保守化设定。</w:t>
      </w:r>
    </w:p>
    <w:p>
      <w:pPr>
        <w:spacing w:after="0" w:before="0" w:line="360"/>
        <w:ind w:firstLine="480"/>
      </w:pPr>
      <w:r>
        <w:rPr>
          <w:sz w:val="24"/>
          <w:szCs w:val="24"/>
        </w:rPr>
        <w:t xml:space="preserve">[0006]步骤S12，核心生理指标时序流采集。完成量表初筛后，系统即刻启动后台硬件传感模块进行生理基线的数据捕捉，并在随后的正念干预及曼陀罗绘画环节将该采集进程作为后台常驻任务连续运行。具体操作中，系统利用头戴式设备内置的眼动追踪模块，基于瞳孔-角膜反射法（Pupil-Corneal Reflection，PCR）实时记录眼球注视坐标与瞳孔直径特征。对于参与者在目标区域（AOI，即曼陀罗画布与情绪交互元素所在区域）的注意分配，系统通过注视时间比率刻画，如式（1-2）所示：</w:t>
      </w:r>
    </w:p>
    <w:p>
      <w:pPr>
        <w:tabs>
          <w:tab w:val="center" w:pos="4513"/>
          <w:tab w:val="right" w:pos="8826"/>
        </w:tabs>
        <w:spacing w:after="120" w:before="120" w:line="360"/>
        <w:jc w:val="left"/>
      </w:pPr>
      <m:oMath>
        <m:sSub>
          <m:sSubPr/>
          <m:e>
            <m:r>
              <m:t>R</m:t>
            </m:r>
          </m:e>
          <m:sub>
            <m:r>
              <m:t>f</m:t>
            </m:r>
          </m:sub>
        </m:sSub>
        <m:r>
          <m:t> = </m:t>
        </m:r>
        <m:d>
          <m:dPr>
            <m:begChr m:val="["/>
            <m:endChr m:val="]"/>
          </m:dPr>
          <m:e>
            <m:sSub>
              <m:sSubPr/>
              <m:e>
                <m:r>
                  <m:t>T</m:t>
                </m:r>
              </m:e>
              <m:sub>
                <m:r>
                  <m:t>AOI</m:t>
                </m:r>
              </m:sub>
            </m:sSub>
          </m:e>
        </m:d>
        <m:r>
          <m:t> / </m:t>
        </m:r>
        <m:d>
          <m:dPr>
            <m:begChr m:val="["/>
            <m:endChr m:val="]"/>
          </m:dPr>
          <m:e>
            <m:sSub>
              <m:sSubPr/>
              <m:e>
                <m:r>
                  <m:t>T</m:t>
                </m:r>
              </m:e>
              <m:sub>
                <m:r>
                  <m:t>total</m:t>
                </m:r>
              </m:sub>
            </m:sSub>
          </m:e>
        </m:d>
        <m:r>
          <m:t> × 100%</m:t>
        </m:r>
      </m:oMath>
      <w:r>
        <w:t xml:space="preserve">	（1-2）</w:t>
      </w:r>
    </w:p>
    <w:p>
      <w:pPr>
        <w:spacing w:after="0" w:before="0" w:line="360"/>
        <w:ind w:firstLine="480"/>
      </w:pPr>
      <w:r>
        <w:rPr>
          <w:sz w:val="24"/>
          <w:szCs w:val="24"/>
        </w:rPr>
        <w:t xml:space="preserve">[0007]式（1-2）中，R_f表示注视时间比率，T_AOI表示注视点落入目标区域的累计时间，T_total表示统计窗口的总时长。注视时间比率越高，表明参与者对疗愈内容的视觉投入越充分。与注视比率互补，系统进一步对稳定注视事件的持续时长进行累加，得到注视时长指标，如式（1-3）所示：</w:t>
      </w:r>
    </w:p>
    <w:p>
      <w:pPr>
        <w:tabs>
          <w:tab w:val="center" w:pos="4513"/>
          <w:tab w:val="right" w:pos="8826"/>
        </w:tabs>
        <w:spacing w:after="120" w:before="120" w:line="360"/>
        <w:jc w:val="left"/>
      </w:pPr>
      <m:oMath>
        <m:sSub>
          <m:sSubPr/>
          <m:e>
            <m:r>
              <m:t>T</m:t>
            </m:r>
          </m:e>
          <m:sub>
            <m:r>
              <m:t>f</m:t>
            </m:r>
          </m:sub>
        </m:sSub>
        <m:r>
          <m:t> = </m:t>
        </m:r>
        <m:sSubSup>
          <m:sSubSupPr/>
          <m:e>
            <m:r>
              <m:t>∑</m:t>
            </m:r>
          </m:e>
          <m:sub>
            <m:r>
              <m:t>i = 1</m:t>
            </m:r>
          </m:sub>
          <m:sup>
            <m:r>
              <m:t>n</m:t>
            </m:r>
          </m:sup>
        </m:sSubSup>
        <m:sSub>
          <m:sSubPr/>
          <m:e>
            <m:r>
              <m:t>t</m:t>
            </m:r>
          </m:e>
          <m:sub>
            <m:r>
              <m:t>i</m:t>
            </m:r>
          </m:sub>
        </m:sSub>
      </m:oMath>
      <w:r>
        <w:t xml:space="preserve">	（1-3）</w:t>
      </w:r>
    </w:p>
    <w:p>
      <w:pPr>
        <w:spacing w:after="0" w:before="0" w:line="360"/>
        <w:ind w:firstLine="480"/>
      </w:pPr>
      <w:r>
        <w:rPr>
          <w:sz w:val="24"/>
          <w:szCs w:val="24"/>
        </w:rPr>
        <w:t xml:space="preserve">[0008]式（1-3）中，T_f表示注视时长，t_i表示第i次稳定注视（注视点漂移速度低于预设阈值且持续时间大于100毫秒的注视事件）的持续时间，n为统计窗口内的稳定注视次数。与此同时，系统以静息基线期采集的瞳孔直径为参照，计算瞳孔相对变化幅度，用于量化认知负荷与情绪唤醒的波动，如式（1-4）所示：</w:t>
      </w:r>
    </w:p>
    <w:p>
      <w:pPr>
        <w:tabs>
          <w:tab w:val="center" w:pos="4513"/>
          <w:tab w:val="right" w:pos="8826"/>
        </w:tabs>
        <w:spacing w:after="120" w:before="120" w:line="360"/>
        <w:jc w:val="left"/>
      </w:pPr>
      <m:oMath>
        <m:r>
          <m:t>Rc = </m:t>
        </m:r>
        <m:d>
          <m:dPr>
            <m:begChr m:val="["/>
            <m:endChr m:val="]"/>
          </m:dPr>
          <m:e>
            <m:sSub>
              <m:sSubPr/>
              <m:e>
                <m:r>
                  <m:t>G</m:t>
                </m:r>
              </m:e>
              <m:sub>
                <m:r>
                  <m:t>b</m:t>
                </m:r>
              </m:sub>
            </m:sSub>
            <m:r>
              <m:t> − </m:t>
            </m:r>
            <m:sSub>
              <m:sSubPr/>
              <m:e>
                <m:r>
                  <m:t>G</m:t>
                </m:r>
              </m:e>
              <m:sub>
                <m:r>
                  <m:t>c</m:t>
                </m:r>
              </m:sub>
            </m:sSub>
          </m:e>
        </m:d>
        <m:r>
          <m:t> / </m:t>
        </m:r>
        <m:d>
          <m:dPr>
            <m:begChr m:val="["/>
            <m:endChr m:val="]"/>
          </m:dPr>
          <m:e>
            <m:sSub>
              <m:sSubPr/>
              <m:e>
                <m:r>
                  <m:t>G</m:t>
                </m:r>
              </m:e>
              <m:sub>
                <m:r>
                  <m:t>b</m:t>
                </m:r>
              </m:sub>
            </m:sSub>
          </m:e>
        </m:d>
        <m:r>
          <m:t> × 100%</m:t>
        </m:r>
      </m:oMath>
      <w:r>
        <w:t xml:space="preserve">	（1-4）</w:t>
      </w:r>
    </w:p>
    <w:p>
      <w:pPr>
        <w:spacing w:after="0" w:before="0" w:line="360"/>
        <w:ind w:firstLine="480"/>
      </w:pPr>
      <w:r>
        <w:rPr>
          <w:sz w:val="24"/>
          <w:szCs w:val="24"/>
        </w:rPr>
        <w:t xml:space="preserve">[0009]式（1-4）中，Rc表示瞳孔相对变化幅度，G_current表示当前时刻的瞳孔直径，G_baseline表示基线期的瞳孔直径。需要特别说明的是，本发明对各生理指标的临床方向进行了显式标定：注视时间比率R_f与注视时长T_f的数值越大，代表参与者注意力越集中，设定为正向指标；瞳孔相对变化幅度Rc在持续扩张或剧烈波动时通常与认知负荷过高、紧张或疲劳相关，设定为负向指标。</w:t>
      </w:r>
    </w:p>
    <w:p>
      <w:pPr>
        <w:spacing w:after="0" w:before="0" w:line="360"/>
        <w:ind w:firstLine="480"/>
      </w:pPr>
      <w:r>
        <w:rPr>
          <w:sz w:val="24"/>
          <w:szCs w:val="24"/>
        </w:rPr>
        <w:t xml:space="preserve">[0010]在视觉通道之外，系统通过外接或头戴设备集成的光电容积脉搏波（PPG）传感模块持续采集脉搏波信号，经峰值检测提取正常窦性心搏的RR间期序列，并计算心率变异性（HRV）的时域核心指标——正常RR间期标准差（SDNN），如式（1-5）所示：</w:t>
      </w:r>
    </w:p>
    <w:p>
      <w:pPr>
        <w:tabs>
          <w:tab w:val="center" w:pos="4513"/>
          <w:tab w:val="right" w:pos="8826"/>
        </w:tabs>
        <w:spacing w:after="120" w:before="120" w:line="360"/>
        <w:jc w:val="left"/>
      </w:pPr>
      <m:oMath>
        <m:r>
          <m:t>SDNN = </m:t>
        </m:r>
        <m:rad>
          <m:radPr>
            <m:degHide m:val="1"/>
          </m:radPr>
          <m:deg/>
          <m:e>
            <m:d>
              <m:dPr>
                <m:begChr m:val="["/>
                <m:endChr m:val="]"/>
              </m:dPr>
              <m:e>
                <m:r>
                  <m:t>1</m:t>
                </m:r>
              </m:e>
            </m:d>
            <m:r>
              <m:t> / </m:t>
            </m:r>
            <m:d>
              <m:dPr>
                <m:begChr m:val="["/>
                <m:endChr m:val="]"/>
              </m:dPr>
              <m:e>
                <m:r>
                  <m:t>N − 1</m:t>
                </m:r>
              </m:e>
            </m:d>
            <m:r>
              <m:t> ⋅ </m:t>
            </m:r>
            <m:sSubSup>
              <m:sSubSupPr/>
              <m:e>
                <m:r>
                  <m:t>∑</m:t>
                </m:r>
              </m:e>
              <m:sub>
                <m:r>
                  <m:t>i = 1</m:t>
                </m:r>
              </m:sub>
              <m:sup>
                <m:r>
                  <m:t>N</m:t>
                </m:r>
              </m:sup>
            </m:sSubSup>
            <m:r>
              <m:t> </m:t>
            </m:r>
            <m:sSup>
              <m:sSupPr/>
              <m:e>
                <m:d>
                  <m:dPr>
                    <m:begChr m:val="["/>
                    <m:endChr m:val="]"/>
                  </m:dPr>
                  <m:e>
                    <m:sSub>
                      <m:sSubPr/>
                      <m:e>
                        <m:r>
                          <m:t>NN</m:t>
                        </m:r>
                      </m:e>
                      <m:sub>
                        <m:r>
                          <m:t>i</m:t>
                        </m:r>
                      </m:sub>
                    </m:sSub>
                    <m:r>
                      <m:t> − </m:t>
                    </m:r>
                    <m:r>
                      <m:t>NN̅</m:t>
                    </m:r>
                  </m:e>
                </m:d>
              </m:e>
              <m:sup>
                <m:r>
                  <m:t>2</m:t>
                </m:r>
              </m:sup>
            </m:sSup>
          </m:e>
        </m:rad>
      </m:oMath>
      <w:r>
        <w:t xml:space="preserve">	（1-5）</w:t>
      </w:r>
    </w:p>
    <w:p>
      <w:pPr>
        <w:spacing w:after="0" w:before="0" w:line="360"/>
        <w:ind w:firstLine="480"/>
      </w:pPr>
      <w:r>
        <w:rPr>
          <w:sz w:val="24"/>
          <w:szCs w:val="24"/>
        </w:rPr>
        <w:t xml:space="preserve">[0011]式（1-5）中，N为测量时间段内记录到的NN间期总个数，NN_i为第i个NN间期的时间长度，NN̅为该时间段内全部NN间期的平均时长。为进一步刻画副交感神经的快速调制活动，系统同步计算相邻RR间期差值的均方根（RMSSD），如式（1-6）所示：</w:t>
      </w:r>
    </w:p>
    <w:p>
      <w:pPr>
        <w:tabs>
          <w:tab w:val="center" w:pos="4513"/>
          <w:tab w:val="right" w:pos="8826"/>
        </w:tabs>
        <w:spacing w:after="120" w:before="120" w:line="360"/>
        <w:jc w:val="left"/>
      </w:pPr>
      <m:oMath>
        <m:r>
          <m:t>RMSSD = </m:t>
        </m:r>
        <m:rad>
          <m:radPr>
            <m:degHide m:val="1"/>
          </m:radPr>
          <m:deg/>
          <m:e>
            <m:d>
              <m:dPr>
                <m:begChr m:val="["/>
                <m:endChr m:val="]"/>
              </m:dPr>
              <m:e>
                <m:r>
                  <m:t>1</m:t>
                </m:r>
              </m:e>
            </m:d>
            <m:r>
              <m:t> / </m:t>
            </m:r>
            <m:d>
              <m:dPr>
                <m:begChr m:val="["/>
                <m:endChr m:val="]"/>
              </m:dPr>
              <m:e>
                <m:r>
                  <m:t>N − 1</m:t>
                </m:r>
              </m:e>
            </m:d>
            <m:r>
              <m:t> ⋅ </m:t>
            </m:r>
            <m:sSubSup>
              <m:sSubSupPr/>
              <m:e>
                <m:r>
                  <m:t>∑</m:t>
                </m:r>
              </m:e>
              <m:sub>
                <m:r>
                  <m:t>i = 1</m:t>
                </m:r>
              </m:sub>
              <m:sup>
                <m:r>
                  <m:t>N − 1</m:t>
                </m:r>
              </m:sup>
            </m:sSubSup>
            <m:r>
              <m:t> </m:t>
            </m:r>
            <m:sSup>
              <m:sSupPr/>
              <m:e>
                <m:d>
                  <m:dPr>
                    <m:begChr m:val="["/>
                    <m:endChr m:val="]"/>
                  </m:dPr>
                  <m:e>
                    <m:sSub>
                      <m:sSubPr/>
                      <m:e>
                        <m:r>
                          <m:t>NN</m:t>
                        </m:r>
                      </m:e>
                      <m:sub>
                        <m:r>
                          <m:t>i + 1</m:t>
                        </m:r>
                      </m:sub>
                    </m:sSub>
                    <m:r>
                      <m:t> − </m:t>
                    </m:r>
                    <m:sSub>
                      <m:sSubPr/>
                      <m:e>
                        <m:r>
                          <m:t>NN</m:t>
                        </m:r>
                      </m:e>
                      <m:sub>
                        <m:r>
                          <m:t>i</m:t>
                        </m:r>
                      </m:sub>
                    </m:sSub>
                  </m:e>
                </m:d>
              </m:e>
              <m:sup>
                <m:r>
                  <m:t>2</m:t>
                </m:r>
              </m:sup>
            </m:sSup>
          </m:e>
        </m:rad>
      </m:oMath>
      <w:r>
        <w:t xml:space="preserve">	（1-6）</w:t>
      </w:r>
    </w:p>
    <w:p>
      <w:pPr>
        <w:spacing w:after="0" w:before="0" w:line="360"/>
        <w:ind w:firstLine="480"/>
      </w:pPr>
      <w:r>
        <w:rPr>
          <w:sz w:val="24"/>
          <w:szCs w:val="24"/>
        </w:rPr>
        <w:t xml:space="preserve">[0012]SDNN反映自主神经系统对心脏的整体调控能力，其数值越大，代表自主神经调节弹性越好、身体越处于放松而有弹性的状态，设定为正向指标；RMSSD对呼吸性窦性心律不齐更为敏感，可作为SDNN的高频补充特征。既有实证研究表明，慢性焦虑与急性应激状态下SDNN呈显著下降趋势，因此该指标构成综合状态评估中权重最高的深层生理唤醒信号。</w:t>
      </w:r>
    </w:p>
    <w:p>
      <w:pPr>
        <w:spacing w:after="0" w:before="0" w:line="360"/>
        <w:ind w:firstLine="480"/>
      </w:pPr>
      <w:r>
        <w:rPr>
          <w:sz w:val="24"/>
          <w:szCs w:val="24"/>
        </w:rPr>
        <w:t xml:space="preserve">[0013]步骤S13，交互行为特征采集。在自我评估与曼陀罗绘画环节，系统以事件驱动方式记录参与者的全部交互行为，包括：情绪元素的选择序列与停留时间、曼陀罗各区域的配色分布、上色次数、修改次数F_m、色彩分布的空间位置以及绘画完成度Degree_comp。其中，配色分布以HSV色彩空间中的色调直方图表示，修改次数定义为同一区域被重复填色的累计次数，完成度定义为已填色区域占线稿总区域的比例。上述行为特征与生理时序流在语义上互补：生理信号刻画参与者“无意识”的躯体唤醒，而绘画行为承载其“有意识”的情绪投射，二者共同构成本发明区别于单一量表评估系统的关键信息来源。</w:t>
      </w:r>
    </w:p>
    <w:p>
      <w:pPr>
        <w:spacing w:after="0" w:before="0" w:line="360"/>
        <w:ind w:firstLine="480"/>
      </w:pPr>
      <w:r>
        <w:rPr>
          <w:sz w:val="24"/>
          <w:szCs w:val="24"/>
        </w:rPr>
        <w:t xml:space="preserve">[0014]步骤S14，异构数据时间戳对齐、去噪与缺失插补。鉴于量表得分为低频静态数据、眼动与PPG信号为高频时序数据、行为事件为异步离散数据，系统引入时间戳对齐机制（Time-stamp Alignment），为每一条采样记录附加全局物理时间戳，并以5分钟为基本评估窗口对高频信号进行窗内聚合，窗内均值按式（1-7）计算：</w:t>
      </w:r>
    </w:p>
    <w:p>
      <w:pPr>
        <w:tabs>
          <w:tab w:val="center" w:pos="4513"/>
          <w:tab w:val="right" w:pos="8826"/>
        </w:tabs>
        <w:spacing w:after="120" w:before="120" w:line="360"/>
        <w:jc w:val="left"/>
      </w:pPr>
      <m:oMath>
        <m:sSub>
          <m:sSubPr/>
          <m:e>
            <m:r>
              <m:t>x̄</m:t>
            </m:r>
          </m:e>
          <m:sub>
            <m:r>
              <m:t>w</m:t>
            </m:r>
          </m:sub>
        </m:sSub>
        <m:r>
          <m:t> = </m:t>
        </m:r>
        <m:d>
          <m:dPr>
            <m:begChr m:val="["/>
            <m:endChr m:val="]"/>
          </m:dPr>
          <m:e>
            <m:r>
              <m:t>1</m:t>
            </m:r>
          </m:e>
        </m:d>
        <m:r>
          <m:t> / </m:t>
        </m:r>
        <m:d>
          <m:dPr>
            <m:begChr m:val="["/>
            <m:endChr m:val="]"/>
          </m:dPr>
          <m:e>
            <m:sSub>
              <m:sSubPr/>
              <m:e>
                <m:r>
                  <m:t>T</m:t>
                </m:r>
              </m:e>
              <m:sub>
                <m:r>
                  <m:t>w</m:t>
                </m:r>
              </m:sub>
            </m:sSub>
          </m:e>
        </m:d>
        <m:r>
          <m:t>  </m:t>
        </m:r>
        <m:nary>
          <m:naryPr>
            <m:limLoc m:val="subSup"/>
          </m:naryPr>
          <m:sub>
            <m:sSub>
              <m:sSubPr/>
              <m:e>
                <m:r>
                  <m:t>t</m:t>
                </m:r>
              </m:e>
              <m:sub>
                <m:r>
                  <m:t>w</m:t>
                </m:r>
              </m:sub>
            </m:sSub>
          </m:sub>
          <m:sup>
            <m:sSub>
              <m:sSubPr/>
              <m:e>
                <m:r>
                  <m:t>t</m:t>
                </m:r>
              </m:e>
              <m:sub>
                <m:r>
                  <m:t>w</m:t>
                </m:r>
              </m:sub>
            </m:sSub>
            <m:r>
              <m:t> + </m:t>
            </m:r>
            <m:sSub>
              <m:sSubPr/>
              <m:e>
                <m:r>
                  <m:t>T</m:t>
                </m:r>
              </m:e>
              <m:sub>
                <m:r>
                  <m:t>w</m:t>
                </m:r>
              </m:sub>
            </m:sSub>
          </m:sup>
          <m:e>
            <m:r>
              <m:t>x(τ) dτ</m:t>
            </m:r>
          </m:e>
        </m:nary>
      </m:oMath>
      <w:r>
        <w:t xml:space="preserve">	（1-7）</w:t>
      </w:r>
    </w:p>
    <w:p>
      <w:pPr>
        <w:spacing w:after="0" w:before="0" w:line="360"/>
        <w:ind w:firstLine="480"/>
      </w:pPr>
      <w:r>
        <w:rPr>
          <w:sz w:val="24"/>
          <w:szCs w:val="24"/>
        </w:rPr>
        <w:t xml:space="preserve">[0015]式（1-7）中，T_w为评估窗口长度，x(τ)为τ时刻的原始生理信号。针对PPG与眼动信号中因头部运动、眨眼遮挡带来的运动伪影，系统采用Hampel滤波进行异常点检测与替换：首先在滑动窗内计算中位数与中位数绝对偏差，如式（1-8）所示：</w:t>
      </w:r>
    </w:p>
    <w:p>
      <w:pPr>
        <w:tabs>
          <w:tab w:val="center" w:pos="4513"/>
          <w:tab w:val="right" w:pos="8826"/>
        </w:tabs>
        <w:spacing w:after="120" w:before="120" w:line="360"/>
        <w:jc w:val="left"/>
      </w:pPr>
      <m:oMath>
        <m:sSub>
          <m:sSubPr/>
          <m:e>
            <m:r>
              <m:t>MAD</m:t>
            </m:r>
          </m:e>
          <m:sub>
            <m:r>
              <m:t>w</m:t>
            </m:r>
          </m:sub>
        </m:sSub>
        <m:r>
          <m:t> = </m:t>
        </m:r>
        <m:r>
          <m:t>med</m:t>
        </m:r>
        <m:d>
          <m:dPr>
            <m:begChr m:val="["/>
            <m:endChr m:val="]"/>
          </m:dPr>
          <m:e>
            <m:r>
              <m:t>∣ </m:t>
            </m:r>
            <m:sSub>
              <m:sSubPr/>
              <m:e>
                <m:r>
                  <m:t>x</m:t>
                </m:r>
              </m:e>
              <m:sub>
                <m:r>
                  <m:t>i</m:t>
                </m:r>
              </m:sub>
            </m:sSub>
            <m:r>
              <m:t> − </m:t>
            </m:r>
            <m:sSub>
              <m:sSubPr/>
              <m:e>
                <m:r>
                  <m:t>m</m:t>
                </m:r>
              </m:e>
              <m:sub>
                <m:r>
                  <m:t>w</m:t>
                </m:r>
              </m:sub>
            </m:sSub>
            <m:r>
              <m:t> ∣</m:t>
            </m:r>
          </m:e>
        </m:d>
        <m:r>
          <m:t>，  </m:t>
        </m:r>
        <m:sSub>
          <m:sSubPr/>
          <m:e>
            <m:r>
              <m:t>m</m:t>
            </m:r>
          </m:e>
          <m:sub>
            <m:r>
              <m:t>w</m:t>
            </m:r>
          </m:sub>
        </m:sSub>
        <m:r>
          <m:t> = med{ </m:t>
        </m:r>
        <m:sSub>
          <m:sSubPr/>
          <m:e>
            <m:r>
              <m:t>x</m:t>
            </m:r>
          </m:e>
          <m:sub>
            <m:r>
              <m:t>j</m:t>
            </m:r>
          </m:sub>
        </m:sSub>
        <m:r>
          <m:t> }</m:t>
        </m:r>
      </m:oMath>
      <w:r>
        <w:t xml:space="preserve">	（1-8）</w:t>
      </w:r>
    </w:p>
    <w:p>
      <w:pPr>
        <w:spacing w:after="0" w:before="0" w:line="360"/>
        <w:ind w:firstLine="480"/>
      </w:pPr>
      <w:r>
        <w:rPr>
          <w:sz w:val="24"/>
          <w:szCs w:val="24"/>
        </w:rPr>
        <w:t xml:space="preserve">[0016]式（1-8）中，m_w为窗内信号中位数。当某采样点偏离中位数的幅度超过3倍MAD时，判定为运动伪影并以窗内中位数替换，判定条件如式（1-9）所示：</w:t>
      </w:r>
    </w:p>
    <w:p>
      <w:pPr>
        <w:tabs>
          <w:tab w:val="center" w:pos="4513"/>
          <w:tab w:val="right" w:pos="8826"/>
        </w:tabs>
        <w:spacing w:after="120" w:before="120" w:line="360"/>
        <w:jc w:val="left"/>
      </w:pPr>
      <m:oMath>
        <m:r>
          <m:t>∣ </m:t>
        </m:r>
        <m:sSub>
          <m:sSubPr/>
          <m:e>
            <m:r>
              <m:t>x</m:t>
            </m:r>
          </m:e>
          <m:sub>
            <m:r>
              <m:t>i</m:t>
            </m:r>
          </m:sub>
        </m:sSub>
        <m:r>
          <m:t> − </m:t>
        </m:r>
        <m:sSub>
          <m:sSubPr/>
          <m:e>
            <m:r>
              <m:t>m</m:t>
            </m:r>
          </m:e>
          <m:sub>
            <m:r>
              <m:t>w</m:t>
            </m:r>
          </m:sub>
        </m:sSub>
        <m:r>
          <m:t> ∣ &gt; 3 ⋅ </m:t>
        </m:r>
        <m:sSub>
          <m:sSubPr/>
          <m:e>
            <m:r>
              <m:t>MAD</m:t>
            </m:r>
          </m:e>
          <m:sub>
            <m:r>
              <m:t>w</m:t>
            </m:r>
          </m:sub>
        </m:sSub>
        <m:r>
          <m:t>  ⇒  </m:t>
        </m:r>
        <m:sSub>
          <m:sSubPr/>
          <m:e>
            <m:r>
              <m:t>x̃</m:t>
            </m:r>
          </m:e>
          <m:sub>
            <m:r>
              <m:t>i</m:t>
            </m:r>
          </m:sub>
        </m:sSub>
        <m:r>
          <m:t> = </m:t>
        </m:r>
        <m:sSub>
          <m:sSubPr/>
          <m:e>
            <m:r>
              <m:t>m</m:t>
            </m:r>
          </m:e>
          <m:sub>
            <m:r>
              <m:t>w</m:t>
            </m:r>
          </m:sub>
        </m:sSub>
      </m:oMath>
      <w:r>
        <w:t xml:space="preserve">	（1-9）</w:t>
      </w:r>
    </w:p>
    <w:p>
      <w:pPr>
        <w:spacing w:after="0" w:before="0" w:line="360"/>
        <w:ind w:firstLine="480"/>
      </w:pPr>
      <w:r>
        <w:rPr>
          <w:sz w:val="24"/>
          <w:szCs w:val="24"/>
        </w:rPr>
        <w:t xml:space="preserve">[0017]对于因传感器短暂遮挡导致的连续缺失，系统采用基于时序的双向线性插值进行填补，如式（1-10）所示：</w:t>
      </w:r>
    </w:p>
    <w:p>
      <w:pPr>
        <w:tabs>
          <w:tab w:val="center" w:pos="4513"/>
          <w:tab w:val="right" w:pos="8826"/>
        </w:tabs>
        <w:spacing w:after="120" w:before="120" w:line="360"/>
        <w:jc w:val="left"/>
      </w:pPr>
      <m:oMath>
        <m:r>
          <m:t>x̂(t) = x(</m:t>
        </m:r>
        <m:sSub>
          <m:sSubPr/>
          <m:e>
            <m:r>
              <m:t>t</m:t>
            </m:r>
          </m:e>
          <m:sub>
            <m:r>
              <m:t>l</m:t>
            </m:r>
          </m:sub>
        </m:sSub>
        <m:r>
          <m:t>) + </m:t>
        </m:r>
        <m:d>
          <m:dPr>
            <m:begChr m:val="["/>
            <m:endChr m:val="]"/>
          </m:dPr>
          <m:e>
            <m:r>
              <m:t>t − </m:t>
            </m:r>
            <m:sSub>
              <m:sSubPr/>
              <m:e>
                <m:r>
                  <m:t>t</m:t>
                </m:r>
              </m:e>
              <m:sub>
                <m:r>
                  <m:t>l</m:t>
                </m:r>
              </m:sub>
            </m:sSub>
          </m:e>
        </m:d>
        <m:r>
          <m:t> / </m:t>
        </m:r>
        <m:d>
          <m:dPr>
            <m:begChr m:val="["/>
            <m:endChr m:val="]"/>
          </m:dPr>
          <m:e>
            <m:sSub>
              <m:sSubPr/>
              <m:e>
                <m:r>
                  <m:t>t</m:t>
                </m:r>
              </m:e>
              <m:sub>
                <m:r>
                  <m:t>r</m:t>
                </m:r>
              </m:sub>
            </m:sSub>
            <m:r>
              <m:t> − </m:t>
            </m:r>
            <m:sSub>
              <m:sSubPr/>
              <m:e>
                <m:r>
                  <m:t>t</m:t>
                </m:r>
              </m:e>
              <m:sub>
                <m:r>
                  <m:t>l</m:t>
                </m:r>
              </m:sub>
            </m:sSub>
          </m:e>
        </m:d>
        <m:r>
          <m:t> ⋅ </m:t>
        </m:r>
        <m:d>
          <m:dPr>
            <m:begChr m:val="["/>
            <m:endChr m:val="]"/>
          </m:dPr>
          <m:e>
            <m:r>
              <m:t>x(</m:t>
            </m:r>
            <m:sSub>
              <m:sSubPr/>
              <m:e>
                <m:r>
                  <m:t>t</m:t>
                </m:r>
              </m:e>
              <m:sub>
                <m:r>
                  <m:t>r</m:t>
                </m:r>
              </m:sub>
            </m:sSub>
            <m:r>
              <m:t>) − x(</m:t>
            </m:r>
            <m:sSub>
              <m:sSubPr/>
              <m:e>
                <m:r>
                  <m:t>t</m:t>
                </m:r>
              </m:e>
              <m:sub>
                <m:r>
                  <m:t>l</m:t>
                </m:r>
              </m:sub>
            </m:sSub>
            <m:r>
              <m:t>)</m:t>
            </m:r>
          </m:e>
        </m:d>
      </m:oMath>
      <w:r>
        <w:t xml:space="preserve">	（1-10）</w:t>
      </w:r>
    </w:p>
    <w:p>
      <w:pPr>
        <w:spacing w:after="0" w:before="0" w:line="360"/>
        <w:ind w:firstLine="480"/>
      </w:pPr>
      <w:r>
        <w:rPr>
          <w:sz w:val="24"/>
          <w:szCs w:val="24"/>
        </w:rPr>
        <w:t xml:space="preserve">[0018]式（1-10）中，t_l与t_r分别为缺失段两侧最近的有效采样时刻。优选地，当连续缺失时长超过预设阈值（本发明一个实施例中取15秒）时，系统将该窗口标记为数据不完整，不参与本轮综合状态解算，并在特征张量中以缺失掩码向量显式标注，供后续模型区别处理。</w:t>
      </w:r>
    </w:p>
    <w:p>
      <w:pPr>
        <w:spacing w:after="0" w:before="0" w:line="360"/>
        <w:ind w:firstLine="480"/>
      </w:pPr>
      <w:r>
        <w:rPr>
          <w:sz w:val="24"/>
          <w:szCs w:val="24"/>
        </w:rPr>
        <w:t xml:space="preserve">[0019]步骤S15，多模态特征的无量纲化。由于SDNN、Rc、R_f、T_f等指标在计量单位与取值量纲上存在显著差异，无法直接进行线性运算，系统采用最大最小归一化（Min-Max Normalization）对窗内特征进行线性变换，在不改变原始数据内部分布差异的前提下将各指标统一映射至0至100的连续区间。根据各指标与参与者“放松/专注”状态的正负相关性，分别设计两种映射逻辑。对于正向指标SDNN、R_f与T_f，值越高代表状态越好，采用正向映射，如式（1-11）所示：</w:t>
      </w:r>
    </w:p>
    <w:p>
      <w:pPr>
        <w:tabs>
          <w:tab w:val="center" w:pos="4513"/>
          <w:tab w:val="right" w:pos="8826"/>
        </w:tabs>
        <w:spacing w:after="120" w:before="120" w:line="360"/>
        <w:jc w:val="left"/>
      </w:pPr>
      <m:oMath>
        <m:r>
          <m:t>S⁺(X) = 100 ⋅ </m:t>
        </m:r>
        <m:d>
          <m:dPr>
            <m:begChr m:val="["/>
            <m:endChr m:val="]"/>
          </m:dPr>
          <m:e>
            <m:r>
              <m:t>X − </m:t>
            </m:r>
            <m:sSub>
              <m:sSubPr/>
              <m:e>
                <m:r>
                  <m:t>X</m:t>
                </m:r>
              </m:e>
              <m:sub>
                <m:r>
                  <m:t>min</m:t>
                </m:r>
              </m:sub>
            </m:sSub>
          </m:e>
        </m:d>
        <m:r>
          <m:t> / </m:t>
        </m:r>
        <m:d>
          <m:dPr>
            <m:begChr m:val="["/>
            <m:endChr m:val="]"/>
          </m:dPr>
          <m:e>
            <m:sSub>
              <m:sSubPr/>
              <m:e>
                <m:r>
                  <m:t>X</m:t>
                </m:r>
              </m:e>
              <m:sub>
                <m:r>
                  <m:t>max</m:t>
                </m:r>
              </m:sub>
            </m:sSub>
            <m:r>
              <m:t> − </m:t>
            </m:r>
            <m:sSub>
              <m:sSubPr/>
              <m:e>
                <m:r>
                  <m:t>X</m:t>
                </m:r>
              </m:e>
              <m:sub>
                <m:r>
                  <m:t>min</m:t>
                </m:r>
              </m:sub>
            </m:sSub>
          </m:e>
        </m:d>
      </m:oMath>
      <w:r>
        <w:t xml:space="preserve">	（1-11）</w:t>
      </w:r>
    </w:p>
    <w:p>
      <w:pPr>
        <w:spacing w:after="0" w:before="0" w:line="360"/>
        <w:ind w:firstLine="480"/>
      </w:pPr>
      <w:r>
        <w:rPr>
          <w:sz w:val="24"/>
          <w:szCs w:val="24"/>
        </w:rPr>
        <w:t xml:space="preserve">[0020]对于负向指标Rc，其变化幅度越小代表用户当前越平稳，采用反向映射，如式（1-12）所示：</w:t>
      </w:r>
    </w:p>
    <w:p>
      <w:pPr>
        <w:tabs>
          <w:tab w:val="center" w:pos="4513"/>
          <w:tab w:val="right" w:pos="8826"/>
        </w:tabs>
        <w:spacing w:after="120" w:before="120" w:line="360"/>
        <w:jc w:val="left"/>
      </w:pPr>
      <m:oMath>
        <m:r>
          <m:t>S⁻(X) = 100 ⋅ </m:t>
        </m:r>
        <m:d>
          <m:dPr>
            <m:begChr m:val="["/>
            <m:endChr m:val="]"/>
          </m:dPr>
          <m:e>
            <m:sSub>
              <m:sSubPr/>
              <m:e>
                <m:r>
                  <m:t>X</m:t>
                </m:r>
              </m:e>
              <m:sub>
                <m:r>
                  <m:t>max</m:t>
                </m:r>
              </m:sub>
            </m:sSub>
            <m:r>
              <m:t> − X</m:t>
            </m:r>
          </m:e>
        </m:d>
        <m:r>
          <m:t> / </m:t>
        </m:r>
        <m:d>
          <m:dPr>
            <m:begChr m:val="["/>
            <m:endChr m:val="]"/>
          </m:dPr>
          <m:e>
            <m:sSub>
              <m:sSubPr/>
              <m:e>
                <m:r>
                  <m:t>X</m:t>
                </m:r>
              </m:e>
              <m:sub>
                <m:r>
                  <m:t>max</m:t>
                </m:r>
              </m:sub>
            </m:sSub>
            <m:r>
              <m:t> − </m:t>
            </m:r>
            <m:sSub>
              <m:sSubPr/>
              <m:e>
                <m:r>
                  <m:t>X</m:t>
                </m:r>
              </m:e>
              <m:sub>
                <m:r>
                  <m:t>min</m:t>
                </m:r>
              </m:sub>
            </m:sSub>
          </m:e>
        </m:d>
      </m:oMath>
      <w:r>
        <w:t xml:space="preserve">	（1-12）</w:t>
      </w:r>
    </w:p>
    <w:p>
      <w:pPr>
        <w:spacing w:after="0" w:before="0" w:line="360"/>
        <w:ind w:firstLine="480"/>
      </w:pPr>
      <w:r>
        <w:rPr>
          <w:sz w:val="24"/>
          <w:szCs w:val="24"/>
        </w:rPr>
        <w:t xml:space="preserve">[0021]式（1-11）与式（1-12）中，X为当前5分钟窗口内的实时测量值，X_max与X_min分别为基线测试期间在对应被试身上采集到的个体极值。采用个体极值而非群体统计量，保证了归一化结果对不同年龄、不同基础生理水平参与者的公平性。</w:t>
      </w:r>
    </w:p>
    <w:p>
      <w:pPr>
        <w:spacing w:after="0" w:before="0" w:line="360"/>
        <w:ind w:firstLine="480"/>
      </w:pPr>
      <w:r>
        <w:rPr>
          <w:sz w:val="24"/>
          <w:szCs w:val="24"/>
        </w:rPr>
        <w:t xml:space="preserve">[0022]步骤S16，基于加权求和模型的综合状态演算。在完成多维数据归一化后，本发明采用多准则决策分析（MCDA）框架下的加权求和模型（Weighted Sum Model，WSM）作为核心数据融合算法，基于各生理特征对目标状态的贡献度分配常数权重，通过加权线性组合输出综合状态指数Index_cps，如式（1-13）所示：</w:t>
      </w:r>
    </w:p>
    <w:p>
      <w:pPr>
        <w:tabs>
          <w:tab w:val="center" w:pos="4513"/>
          <w:tab w:val="right" w:pos="8826"/>
        </w:tabs>
        <w:spacing w:after="120" w:before="120" w:line="360"/>
        <w:jc w:val="left"/>
      </w:pPr>
      <m:oMath>
        <m:sSub>
          <m:sSubPr/>
          <m:e>
            <m:r>
              <m:t>Index</m:t>
            </m:r>
          </m:e>
          <m:sub>
            <m:r>
              <m:t>cps</m:t>
            </m:r>
          </m:sub>
        </m:sSub>
        <m:r>
          <m:t> = 0.40 ⋅ S⁺(SDNN) + 0.30 ⋅ S⁻(Rc)</m:t>
        </m:r>
      </m:oMath>
      <w:r>
        <w:t xml:space="preserve">	（1-13）</w:t>
      </w:r>
    </w:p>
    <w:p>
      <w:pPr>
        <w:spacing w:after="120" w:before="0" w:line="360"/>
        <w:jc w:val="center"/>
      </w:pPr>
      <m:oMath>
        <m:r>
          <m:t> + 0.15 ⋅ S⁺(</m:t>
        </m:r>
        <m:sSub>
          <m:sSubPr/>
          <m:e>
            <m:r>
              <m:t>R</m:t>
            </m:r>
          </m:e>
          <m:sub>
            <m:r>
              <m:t>f</m:t>
            </m:r>
          </m:sub>
        </m:sSub>
        <m:r>
          <m:t>) + 0.15 ⋅ S⁺(</m:t>
        </m:r>
        <m:sSub>
          <m:sSubPr/>
          <m:e>
            <m:r>
              <m:t>T</m:t>
            </m:r>
          </m:e>
          <m:sub>
            <m:r>
              <m:t>f</m:t>
            </m:r>
          </m:sub>
        </m:sSub>
        <m:r>
          <m:t>)</m:t>
        </m:r>
      </m:oMath>
    </w:p>
    <w:p>
      <w:pPr>
        <w:spacing w:after="0" w:before="0" w:line="360"/>
        <w:ind w:firstLine="480"/>
      </w:pPr>
      <w:r>
        <w:rPr>
          <w:sz w:val="24"/>
          <w:szCs w:val="24"/>
        </w:rPr>
        <w:t xml:space="preserve">[0023]式（1-13）的权重设计遵循“深层生理唤醒优先”的原则：考虑到处于潜在焦虑应激状态下的参与者，其自主神经系统的唤醒反应较主观报告与视觉行为更为稳定且难以伪装，自主神经指标SDNN与情绪唤醒指标Rc的累计权重设定为0.70，而表征视觉注意力的眼动指标R_f与T_f累计权重设定为0.30。综合状态指数越接近100分，表明参与者当前越处于放松且专注的良好状态；低于预设阈值（本发明一个实施例中取40分）时判定为负面/焦虑状态，低于临界警戒线20分时触发后续步骤S4所述的柔性熔断机制。该指数以每5分钟一次的节奏滚动更新，同时在交互关键节点支持事件触发的即时解算，构成驱动整个闭环系统运转的核心状态变量。</w:t>
      </w:r>
    </w:p>
    <w:p>
      <w:pPr>
        <w:spacing w:after="0" w:before="0" w:line="360"/>
        <w:ind w:firstLine="480"/>
      </w:pPr>
      <w:r>
        <w:rPr>
          <w:sz w:val="24"/>
          <w:szCs w:val="24"/>
        </w:rPr>
        <w:t xml:space="preserve">[0024]步骤S17，个性化正念引导语音的离线重构。为克服传统心理干预系统中标准化播音腔语音容易引发参与者心理防御机制的缺陷，本发明在正式进入艺术疗愈前，基于语音转换深度生成模型VITS框架提供个性化听觉模态交互。参与者可选择系统默认的柔和音色，或朗读一段10至15秒的预设文本；系统提取其声学特征即梅尔频谱作为声纹条件，梅尔频谱的计算如式（1-14）所示：</w:t>
      </w:r>
    </w:p>
    <w:p>
      <w:pPr>
        <w:tabs>
          <w:tab w:val="center" w:pos="4513"/>
          <w:tab w:val="right" w:pos="8826"/>
        </w:tabs>
        <w:spacing w:after="120" w:before="120" w:line="360"/>
        <w:jc w:val="left"/>
      </w:pPr>
      <m:oMath>
        <m:r>
          <m:t>M = log [ Mel ( STFT(s) ) + ε ]</m:t>
        </m:r>
      </m:oMath>
      <w:r>
        <w:t xml:space="preserve">	（1-14）</w:t>
      </w:r>
    </w:p>
    <w:p>
      <w:pPr>
        <w:spacing w:after="0" w:before="0" w:line="360"/>
        <w:ind w:firstLine="480"/>
      </w:pPr>
      <w:r>
        <w:rPr>
          <w:sz w:val="24"/>
          <w:szCs w:val="24"/>
        </w:rPr>
        <w:t xml:space="preserve">[0025]式（1-14）中，s为参与者的录音信号，STFT为短时傅里叶变换，Mel为梅尔滤波器组，ε为防止对零取对数的极小常数。VITS模型以条件变分自编码器为骨干，将文本内容与说话人声纹解耦编码，其训练目标为变分下界，如式（1-15）所示：</w:t>
      </w:r>
    </w:p>
    <w:p>
      <w:pPr>
        <w:tabs>
          <w:tab w:val="center" w:pos="4513"/>
          <w:tab w:val="right" w:pos="8826"/>
        </w:tabs>
        <w:spacing w:after="120" w:before="120" w:line="360"/>
        <w:jc w:val="left"/>
      </w:pPr>
      <m:oMath>
        <m:sSub>
          <m:sSubPr/>
          <m:e>
            <m:r>
              <m:t>L</m:t>
            </m:r>
          </m:e>
          <m:sub>
            <m:r>
              <m:t>VITS</m:t>
            </m:r>
          </m:sub>
        </m:sSub>
        <m:r>
          <m:t> = </m:t>
        </m:r>
        <m:sSub>
          <m:sSubPr/>
          <m:e>
            <m:r>
              <m:t>E</m:t>
            </m:r>
          </m:e>
          <m:sub>
            <m:r>
              <m:t>qφ</m:t>
            </m:r>
          </m:sub>
        </m:sSub>
        <m:d>
          <m:dPr>
            <m:begChr m:val="["/>
            <m:endChr m:val="]"/>
          </m:dPr>
          <m:e>
            <m:r>
              <m:t> log </m:t>
            </m:r>
            <m:sSub>
              <m:sSubPr/>
              <m:e>
                <m:r>
                  <m:t>p</m:t>
                </m:r>
              </m:e>
              <m:sub>
                <m:r>
                  <m:t>θ</m:t>
                </m:r>
              </m:sub>
            </m:sSub>
            <m:r>
              <m:t>(x∣z, c) </m:t>
            </m:r>
          </m:e>
        </m:d>
        <m:r>
          <m:t> − KL ( </m:t>
        </m:r>
        <m:sSub>
          <m:sSubPr/>
          <m:e>
            <m:r>
              <m:t>q</m:t>
            </m:r>
          </m:e>
          <m:sub>
            <m:r>
              <m:t>φ</m:t>
            </m:r>
          </m:sub>
        </m:sSub>
        <m:r>
          <m:t> , p(z∣c) )</m:t>
        </m:r>
      </m:oMath>
      <w:r>
        <w:t xml:space="preserve">	（1-15）</w:t>
      </w:r>
    </w:p>
    <w:p>
      <w:pPr>
        <w:spacing w:after="0" w:before="0" w:line="360"/>
        <w:ind w:firstLine="480"/>
      </w:pPr>
      <w:r>
        <w:rPr>
          <w:sz w:val="24"/>
          <w:szCs w:val="24"/>
        </w:rPr>
        <w:t xml:space="preserve">[0026]式（1-15）中，c为梅尔频谱声纹条件，z为潜变量，q_φ为识别网络，p_θ为解码网络，KL为KL散度。重构完成后，系统以参与者自身声线合成全部正念引导语料。基于自身声纹特征的听觉反馈能够显著增强参与者的安全感与自我接纳感，这一设计的技术效果在本说明书文末的实验验证中得到了实证支持。</w:t>
      </w:r>
    </w:p>
    <w:p>
      <w:pPr>
        <w:spacing w:after="0" w:before="0" w:line="360"/>
        <w:ind w:firstLine="480"/>
      </w:pPr>
      <w:r>
        <w:rPr>
          <w:sz w:val="24"/>
          <w:szCs w:val="24"/>
        </w:rPr>
        <w:t xml:space="preserve">[0027]经步骤S11至步骤S17，三类异构数据被组织为统一时间粒度下的标准化特征张量与滚动更新的综合状态指数Index_cps，输出至步骤S2的状态评估层。</w:t>
      </w:r>
    </w:p>
    <w:p>
      <w:pPr>
        <w:spacing w:after="120" w:before="240" w:line="360"/>
      </w:pPr>
      <w:r>
        <w:rPr>
          <w:b/>
          <w:bCs/>
          <w:sz w:val="24"/>
          <w:szCs w:val="24"/>
        </w:rPr>
        <w:t xml:space="preserve">步骤S2，基于GBDT特征筛选与XGBoost分类的压力等级量化。</w:t>
      </w:r>
    </w:p>
    <w:p>
      <w:pPr>
        <w:spacing w:after="0" w:before="0" w:line="360"/>
        <w:ind w:firstLine="480"/>
      </w:pPr>
      <w:r>
        <w:rPr>
          <w:sz w:val="24"/>
          <w:szCs w:val="24"/>
        </w:rPr>
        <w:t xml:space="preserve">[0028]步骤S1输出的标准化特征张量虽然完成了模态对齐与无量纲化，但其特征空间中同时包含与焦虑状态强相关的核心变量与贡献微弱的冗余变量；若直接送入分类器，不仅增加边缘端的推理开销，也容易在小样本条件下引发过拟合。为此，本发明在状态评估层构建“梯度提升决策树特征筛选—极端梯度提升分级”的两阶段组合模型，实现从高维异构特征到五级压力标签的端到端量化。</w:t>
      </w:r>
    </w:p>
    <w:p>
      <w:pPr>
        <w:spacing w:after="0" w:before="0" w:line="360"/>
        <w:ind w:firstLine="480"/>
      </w:pPr>
      <w:r>
        <w:rPr>
          <w:sz w:val="24"/>
          <w:szCs w:val="24"/>
        </w:rPr>
        <w:t xml:space="preserve">[0029]步骤S21，基于GBDT的特征重要性筛选。第一阶段采用梯度提升决策树（GBDT）作为特征评估器，其核心思想是以加法模型方式迭代拟合负梯度方向上的残差。设训练样本集为D={(x_i, y_i)}，i=1至n，其中x_i为d维融合特征向量，y_i为压力等级标签；GBDT第m轮的强学习器F_m(x)由前序学习器与本轮回归树f_m(x)加和构成，如式（2-1）所示：</w:t>
      </w:r>
    </w:p>
    <w:p>
      <w:pPr>
        <w:tabs>
          <w:tab w:val="center" w:pos="4513"/>
          <w:tab w:val="right" w:pos="8826"/>
        </w:tabs>
        <w:spacing w:after="120" w:before="120" w:line="360"/>
        <w:jc w:val="left"/>
      </w:pPr>
      <m:oMath>
        <m:sSub>
          <m:sSubPr/>
          <m:e>
            <m:r>
              <m:t>F</m:t>
            </m:r>
          </m:e>
          <m:sub>
            <m:r>
              <m:t>m</m:t>
            </m:r>
          </m:sub>
        </m:sSub>
        <m:r>
          <m:t>(x) = </m:t>
        </m:r>
        <m:sSub>
          <m:sSubPr/>
          <m:e>
            <m:r>
              <m:t>F</m:t>
            </m:r>
          </m:e>
          <m:sub>
            <m:r>
              <m:t>m − 1</m:t>
            </m:r>
          </m:sub>
        </m:sSub>
        <m:r>
          <m:t>(x) + ν ⋅ </m:t>
        </m:r>
        <m:sSub>
          <m:sSubPr/>
          <m:e>
            <m:r>
              <m:t>f</m:t>
            </m:r>
          </m:e>
          <m:sub>
            <m:r>
              <m:t>m</m:t>
            </m:r>
          </m:sub>
        </m:sSub>
        <m:r>
          <m:t>(x)</m:t>
        </m:r>
      </m:oMath>
      <w:r>
        <w:t xml:space="preserve">	（2-1）</w:t>
      </w:r>
    </w:p>
    <w:p>
      <w:pPr>
        <w:spacing w:after="0" w:before="0" w:line="360"/>
        <w:ind w:firstLine="480"/>
      </w:pPr>
      <w:r>
        <w:rPr>
          <w:sz w:val="24"/>
          <w:szCs w:val="24"/>
        </w:rPr>
        <w:t xml:space="preserve">[0030]式（2-1）中，ν为学习率（收缩系数），用于限制单棵树的贡献以提升泛化能力。第m轮拟合的目标为损失函数L(y, F(x))关于当前模型的负梯度（即伪残差），如式（2-2）所示：</w:t>
      </w:r>
    </w:p>
    <w:p>
      <w:pPr>
        <w:tabs>
          <w:tab w:val="center" w:pos="4513"/>
          <w:tab w:val="right" w:pos="8826"/>
        </w:tabs>
        <w:spacing w:after="120" w:before="120" w:line="360"/>
        <w:jc w:val="left"/>
      </w:pPr>
      <m:oMath>
        <m:sSub>
          <m:sSubPr/>
          <m:e>
            <m:r>
              <m:t>r</m:t>
            </m:r>
          </m:e>
          <m:sub>
            <m:r>
              <m:t>i</m:t>
            </m:r>
            <m:r>
              <m:t>m</m:t>
            </m:r>
          </m:sub>
        </m:sSub>
        <m:r>
          <m:t> = − </m:t>
        </m:r>
        <m:d>
          <m:dPr>
            <m:begChr m:val="["/>
            <m:endChr m:val="]"/>
          </m:dPr>
          <m:e>
            <m:r>
              <m:t>∂ L(</m:t>
            </m:r>
            <m:sSub>
              <m:sSubPr/>
              <m:e>
                <m:r>
                  <m:t>y</m:t>
                </m:r>
              </m:e>
              <m:sub>
                <m:r>
                  <m:t>i</m:t>
                </m:r>
              </m:sub>
            </m:sSub>
            <m:r>
              <m:t>, F(</m:t>
            </m:r>
            <m:sSub>
              <m:sSubPr/>
              <m:e>
                <m:r>
                  <m:t>x</m:t>
                </m:r>
              </m:e>
              <m:sub>
                <m:r>
                  <m:t>i</m:t>
                </m:r>
              </m:sub>
            </m:sSub>
            <m:r>
              <m:t>))</m:t>
            </m:r>
          </m:e>
        </m:d>
        <m:r>
          <m:t> / </m:t>
        </m:r>
        <m:d>
          <m:dPr>
            <m:begChr m:val="["/>
            <m:endChr m:val="]"/>
          </m:dPr>
          <m:e>
            <m:r>
              <m:t>∂ F(</m:t>
            </m:r>
            <m:sSub>
              <m:sSubPr/>
              <m:e>
                <m:r>
                  <m:t>x</m:t>
                </m:r>
              </m:e>
              <m:sub>
                <m:r>
                  <m:t>i</m:t>
                </m:r>
              </m:sub>
            </m:sSub>
            <m:r>
              <m:t>)</m:t>
            </m:r>
          </m:e>
        </m:d>
        <m:r>
          <m:t> ，  F = </m:t>
        </m:r>
        <m:sSub>
          <m:sSubPr/>
          <m:e>
            <m:r>
              <m:t>F</m:t>
            </m:r>
          </m:e>
          <m:sub>
            <m:r>
              <m:t>m − 1</m:t>
            </m:r>
          </m:sub>
        </m:sSub>
      </m:oMath>
      <w:r>
        <w:t xml:space="preserve">	（2-2）</w:t>
      </w:r>
    </w:p>
    <w:p>
      <w:pPr>
        <w:spacing w:after="0" w:before="0" w:line="360"/>
        <w:ind w:firstLine="480"/>
      </w:pPr>
      <w:r>
        <w:rPr>
          <w:sz w:val="24"/>
          <w:szCs w:val="24"/>
        </w:rPr>
        <w:t xml:space="preserve">[0031]全部回归树训练完成后，系统以特征在所有树节点分裂中带来的不纯度下降总量作为重要性度量。设特征j在树T_t中出现于分裂节点集合J_t，则其重要性得分如式（2-3）所示：</w:t>
      </w:r>
    </w:p>
    <w:p>
      <w:pPr>
        <w:tabs>
          <w:tab w:val="center" w:pos="4513"/>
          <w:tab w:val="right" w:pos="8826"/>
        </w:tabs>
        <w:spacing w:after="120" w:before="120" w:line="360"/>
        <w:jc w:val="left"/>
      </w:pPr>
      <m:oMath>
        <m:sSub>
          <m:sSubPr/>
          <m:e>
            <m:r>
              <m:t>I</m:t>
            </m:r>
          </m:e>
          <m:sub>
            <m:r>
              <m:t>j</m:t>
            </m:r>
          </m:sub>
        </m:sSub>
        <m:r>
          <m:t> = </m:t>
        </m:r>
        <m:d>
          <m:dPr>
            <m:begChr m:val="["/>
            <m:endChr m:val="]"/>
          </m:dPr>
          <m:e>
            <m:r>
              <m:t>1</m:t>
            </m:r>
          </m:e>
        </m:d>
        <m:r>
          <m:t> / </m:t>
        </m:r>
        <m:d>
          <m:dPr>
            <m:begChr m:val="["/>
            <m:endChr m:val="]"/>
          </m:dPr>
          <m:e>
            <m:r>
              <m:t>M</m:t>
            </m:r>
          </m:e>
        </m:d>
        <m:sSubSup>
          <m:sSubSupPr/>
          <m:e>
            <m:r>
              <m:t>∑</m:t>
            </m:r>
          </m:e>
          <m:sub>
            <m:r>
              <m:t>t = 1</m:t>
            </m:r>
          </m:sub>
          <m:sup>
            <m:r>
              <m:t>M</m:t>
            </m:r>
          </m:sup>
        </m:sSubSup>
        <m:r>
          <m:t> </m:t>
        </m:r>
        <m:sSub>
          <m:sSubPr/>
          <m:e>
            <m:r>
              <m:t>∑</m:t>
            </m:r>
          </m:e>
          <m:sub>
            <m:r>
              <m:t>v ∈ </m:t>
            </m:r>
            <m:sSub>
              <m:sSubPr/>
              <m:e>
                <m:r>
                  <m:t>J</m:t>
                </m:r>
              </m:e>
              <m:sub>
                <m:r>
                  <m:t>t</m:t>
                </m:r>
              </m:sub>
            </m:sSub>
            <m:r>
              <m:t>(j)</m:t>
            </m:r>
          </m:sub>
        </m:sSub>
        <m:r>
          <m:t> </m:t>
        </m:r>
        <m:sSub>
          <m:sSubPr/>
          <m:e>
            <m:r>
              <m:t>Δ</m:t>
            </m:r>
          </m:e>
          <m:sub>
            <m:r>
              <m:t>v</m:t>
            </m:r>
          </m:sub>
        </m:sSub>
        <m:r>
          <m:t>(Gini)</m:t>
        </m:r>
      </m:oMath>
      <w:r>
        <w:t xml:space="preserve">	（2-3）</w:t>
      </w:r>
    </w:p>
    <w:p>
      <w:pPr>
        <w:spacing w:after="0" w:before="0" w:line="360"/>
        <w:ind w:firstLine="480"/>
      </w:pPr>
      <w:r>
        <w:rPr>
          <w:sz w:val="24"/>
          <w:szCs w:val="24"/>
        </w:rPr>
        <w:t xml:space="preserve">[0032]式（2-3）中，M为树的总数，Δ_v(Gini)为节点v分裂带来的基尼不纯度下降量。系统按重要性得分降序排列，并结合十折交叉验证下的分级准确率曲线，保留累计重要性占比达到预设比例（本发明一个实施例中取95%）的最小特征子集，形成筛选特征向量x̃，如式（2-4）所示：</w:t>
      </w:r>
    </w:p>
    <w:p>
      <w:pPr>
        <w:tabs>
          <w:tab w:val="center" w:pos="4513"/>
          <w:tab w:val="right" w:pos="8826"/>
        </w:tabs>
        <w:spacing w:after="120" w:before="120" w:line="360"/>
        <w:jc w:val="left"/>
      </w:pPr>
      <m:oMath>
        <m:r>
          <m:t>x̃ = </m:t>
        </m:r>
        <m:d>
          <m:dPr>
            <m:begChr m:val="["/>
            <m:endChr m:val="]"/>
          </m:dPr>
          <m:e>
            <m:sSub>
              <m:sSubPr/>
              <m:e>
                <m:r>
                  <m:t>x</m:t>
                </m:r>
              </m:e>
              <m:sub>
                <m:sSub>
                  <m:sSubPr/>
                  <m:e>
                    <m:r>
                      <m:t>j</m:t>
                    </m:r>
                  </m:e>
                  <m:sub>
                    <m:r>
                      <m:t>1</m:t>
                    </m:r>
                  </m:sub>
                </m:sSub>
              </m:sub>
            </m:sSub>
            <m:r>
              <m:t>, </m:t>
            </m:r>
            <m:sSub>
              <m:sSubPr/>
              <m:e>
                <m:r>
                  <m:t>x</m:t>
                </m:r>
              </m:e>
              <m:sub>
                <m:sSub>
                  <m:sSubPr/>
                  <m:e>
                    <m:r>
                      <m:t>j</m:t>
                    </m:r>
                  </m:e>
                  <m:sub>
                    <m:r>
                      <m:t>2</m:t>
                    </m:r>
                  </m:sub>
                </m:sSub>
              </m:sub>
            </m:sSub>
            <m:r>
              <m:t>, …, </m:t>
            </m:r>
            <m:sSub>
              <m:sSubPr/>
              <m:e>
                <m:r>
                  <m:t>x</m:t>
                </m:r>
              </m:e>
              <m:sub>
                <m:sSub>
                  <m:sSubPr/>
                  <m:e>
                    <m:r>
                      <m:t>j</m:t>
                    </m:r>
                  </m:e>
                  <m:sub>
                    <m:r>
                      <m:t>k</m:t>
                    </m:r>
                  </m:sub>
                </m:sSub>
              </m:sub>
            </m:sSub>
          </m:e>
        </m:d>
        <m:r>
          <m:t>，  k = arg min { k′ : </m:t>
        </m:r>
        <m:sSubSup>
          <m:sSubSupPr/>
          <m:e>
            <m:r>
              <m:t>∑</m:t>
            </m:r>
          </m:e>
          <m:sub>
            <m:r>
              <m:t>l = 1</m:t>
            </m:r>
          </m:sub>
          <m:sup>
            <m:r>
              <m:t>k′</m:t>
            </m:r>
          </m:sup>
        </m:sSubSup>
        <m:r>
          <m:t> </m:t>
        </m:r>
        <m:sSub>
          <m:sSubPr/>
          <m:e>
            <m:r>
              <m:t>I</m:t>
            </m:r>
          </m:e>
          <m:sub>
            <m:sSub>
              <m:sSubPr/>
              <m:e>
                <m:r>
                  <m:t>j</m:t>
                </m:r>
              </m:e>
              <m:sub>
                <m:r>
                  <m:t>l</m:t>
                </m:r>
              </m:sub>
            </m:sSub>
          </m:sub>
        </m:sSub>
        <m:r>
          <m:t> ≥ 0.95 ⋅ </m:t>
        </m:r>
        <m:sSubSup>
          <m:sSubSupPr/>
          <m:e>
            <m:r>
              <m:t>∑</m:t>
            </m:r>
          </m:e>
          <m:sub>
            <m:r>
              <m:t>l = 1</m:t>
            </m:r>
          </m:sub>
          <m:sup>
            <m:r>
              <m:t>d</m:t>
            </m:r>
          </m:sup>
        </m:sSubSup>
        <m:r>
          <m:t> </m:t>
        </m:r>
        <m:sSub>
          <m:sSubPr/>
          <m:e>
            <m:r>
              <m:t>I</m:t>
            </m:r>
          </m:e>
          <m:sub>
            <m:sSub>
              <m:sSubPr/>
              <m:e>
                <m:r>
                  <m:t>j</m:t>
                </m:r>
              </m:e>
              <m:sub>
                <m:r>
                  <m:t>l</m:t>
                </m:r>
              </m:sub>
            </m:sSub>
          </m:sub>
        </m:sSub>
        <m:r>
          <m:t> }</m:t>
        </m:r>
      </m:oMath>
      <w:r>
        <w:t xml:space="preserve">	（2-4）</w:t>
      </w:r>
    </w:p>
    <w:p>
      <w:pPr>
        <w:spacing w:after="0" w:before="0" w:line="360"/>
        <w:ind w:firstLine="480"/>
      </w:pPr>
      <w:r>
        <w:rPr>
          <w:sz w:val="24"/>
          <w:szCs w:val="24"/>
        </w:rPr>
        <w:t xml:space="preserve">[0033]步骤S22，XGBoost压力分级模型。第二阶段将筛选特征向量x̃送入极端梯度提升（XGBoost）多分类器。XGBoost在GBDT的损失函数中引入二阶泰勒展开与显式正则项，使目标函数同时兼顾拟合精度与模型复杂度。第t轮迭代的目标函数如式（2-5）所示：</w:t>
      </w:r>
    </w:p>
    <w:p>
      <w:pPr>
        <w:tabs>
          <w:tab w:val="center" w:pos="4513"/>
          <w:tab w:val="right" w:pos="8826"/>
        </w:tabs>
        <w:spacing w:after="120" w:before="120" w:line="360"/>
        <w:jc w:val="left"/>
      </w:pPr>
      <m:oMath>
        <m:sSub>
          <m:sSubPr/>
          <m:e>
            <m:r>
              <m:t>L</m:t>
            </m:r>
          </m:e>
          <m:sub>
            <m:r>
              <m:t>(t)</m:t>
            </m:r>
          </m:sub>
        </m:sSub>
        <m:r>
          <m:t> = </m:t>
        </m:r>
        <m:sSubSup>
          <m:sSubSupPr/>
          <m:e>
            <m:r>
              <m:t>∑</m:t>
            </m:r>
          </m:e>
          <m:sub>
            <m:r>
              <m:t>i = 1</m:t>
            </m:r>
          </m:sub>
          <m:sup>
            <m:r>
              <m:t>n</m:t>
            </m:r>
          </m:sup>
        </m:sSubSup>
        <m:r>
          <m:t>l(</m:t>
        </m:r>
        <m:sSub>
          <m:sSubPr/>
          <m:e>
            <m:r>
              <m:t>y</m:t>
            </m:r>
          </m:e>
          <m:sub>
            <m:r>
              <m:t>i</m:t>
            </m:r>
          </m:sub>
        </m:sSub>
        <m:r>
          <m:t>, </m:t>
        </m:r>
        <m:sSubSup>
          <m:sSubSupPr/>
          <m:e>
            <m:r>
              <m:t>ŷ</m:t>
            </m:r>
          </m:e>
          <m:sub>
            <m:r>
              <m:t>i</m:t>
            </m:r>
          </m:sub>
          <m:sup>
            <m:r>
              <m:t>(t−1)</m:t>
            </m:r>
          </m:sup>
        </m:sSubSup>
        <m:r>
          <m:t>)</m:t>
        </m:r>
        <m:r>
          <m:t> + </m:t>
        </m:r>
        <m:sSub>
          <m:sSubPr/>
          <m:e>
            <m:r>
              <m:t>f</m:t>
            </m:r>
          </m:e>
          <m:sub>
            <m:r>
              <m:t>t</m:t>
            </m:r>
          </m:sub>
        </m:sSub>
        <m:r>
          <m:t>(</m:t>
        </m:r>
        <m:sSub>
          <m:sSubPr/>
          <m:e>
            <m:r>
              <m:t>x</m:t>
            </m:r>
          </m:e>
          <m:sub>
            <m:r>
              <m:t>i</m:t>
            </m:r>
          </m:sub>
        </m:sSub>
        <m:r>
          <m:t>)</m:t>
        </m:r>
        <m:r>
          <m:t> + Ω(</m:t>
        </m:r>
        <m:sSub>
          <m:sSubPr/>
          <m:e>
            <m:r>
              <m:t>f</m:t>
            </m:r>
          </m:e>
          <m:sub>
            <m:r>
              <m:t>t</m:t>
            </m:r>
          </m:sub>
        </m:sSub>
        <m:r>
          <m:t>)</m:t>
        </m:r>
      </m:oMath>
      <w:r>
        <w:t xml:space="preserve">	（2-5）</w:t>
      </w:r>
    </w:p>
    <w:p>
      <w:pPr>
        <w:spacing w:after="0" w:before="0" w:line="360"/>
        <w:ind w:firstLine="480"/>
      </w:pPr>
      <w:r>
        <w:rPr>
          <w:sz w:val="24"/>
          <w:szCs w:val="24"/>
        </w:rPr>
        <w:t xml:space="preserve">[0034]式（2-5）中，l为可微凸损失函数（多分类任务采用softmax交叉熵），Ω(f_t)为树结构正则项。对损失项在当前预测值ŷ_i^(t−1)处作二阶泰勒展开，并定义一阶梯度统计量g_i与二阶海森统计量h_i，如式（2-6）所示：</w:t>
      </w:r>
    </w:p>
    <w:p>
      <w:pPr>
        <w:tabs>
          <w:tab w:val="center" w:pos="4513"/>
          <w:tab w:val="right" w:pos="8826"/>
        </w:tabs>
        <w:spacing w:after="120" w:before="120" w:line="360"/>
        <w:jc w:val="left"/>
      </w:pPr>
      <m:oMath>
        <m:sSub>
          <m:sSubPr/>
          <m:e>
            <m:r>
              <m:t>g</m:t>
            </m:r>
          </m:e>
          <m:sub>
            <m:r>
              <m:t>i</m:t>
            </m:r>
          </m:sub>
        </m:sSub>
        <m:r>
          <m:t> = </m:t>
        </m:r>
        <m:d>
          <m:dPr>
            <m:begChr m:val="["/>
            <m:endChr m:val="]"/>
          </m:dPr>
          <m:e>
            <m:r>
              <m:t>∂² l(</m:t>
            </m:r>
            <m:sSub>
              <m:sSubPr/>
              <m:e>
                <m:r>
                  <m:t>y</m:t>
                </m:r>
              </m:e>
              <m:sub>
                <m:r>
                  <m:t>i</m:t>
                </m:r>
              </m:sub>
            </m:sSub>
            <m:r>
              <m:t>, ŷ)</m:t>
            </m:r>
          </m:e>
        </m:d>
        <m:r>
          <m:t> / </m:t>
        </m:r>
        <m:d>
          <m:dPr>
            <m:begChr m:val="["/>
            <m:endChr m:val="]"/>
          </m:dPr>
          <m:e>
            <m:r>
              <m:t>∂ ŷ²</m:t>
            </m:r>
          </m:e>
        </m:d>
        <m:r>
          <m:t> ，  ŷ = </m:t>
        </m:r>
        <m:sSubSup>
          <m:sSubSupPr/>
          <m:e>
            <m:r>
              <m:t>ŷ</m:t>
            </m:r>
          </m:e>
          <m:sub>
            <m:r>
              <m:t>i</m:t>
            </m:r>
          </m:sub>
          <m:sup>
            <m:r>
              <m:t>(t−1)</m:t>
            </m:r>
          </m:sup>
        </m:sSubSup>
        <m:r>
          <m:t>，  </m:t>
        </m:r>
        <m:sSub>
          <m:sSubPr/>
          <m:e>
            <m:r>
              <m:t>h</m:t>
            </m:r>
          </m:e>
          <m:sub>
            <m:r>
              <m:t>i</m:t>
            </m:r>
          </m:sub>
        </m:sSub>
        <m:r>
          <m:t> = </m:t>
        </m:r>
        <m:d>
          <m:dPr>
            <m:begChr m:val="["/>
            <m:endChr m:val="]"/>
          </m:dPr>
          <m:e>
            <m:r>
              <m:t>∂² l(</m:t>
            </m:r>
            <m:sSub>
              <m:sSubPr/>
              <m:e>
                <m:r>
                  <m:t>y</m:t>
                </m:r>
              </m:e>
              <m:sub>
                <m:r>
                  <m:t>i</m:t>
                </m:r>
              </m:sub>
            </m:sSub>
            <m:r>
              <m:t>, ŷ)</m:t>
            </m:r>
          </m:e>
        </m:d>
        <m:r>
          <m:t> / </m:t>
        </m:r>
        <m:d>
          <m:dPr>
            <m:begChr m:val="["/>
            <m:endChr m:val="]"/>
          </m:dPr>
          <m:e>
            <m:r>
              <m:t>∂ ŷ²</m:t>
            </m:r>
          </m:e>
        </m:d>
        <m:r>
          <m:t> ，  ŷ = </m:t>
        </m:r>
        <m:sSubSup>
          <m:sSubSupPr/>
          <m:e>
            <m:r>
              <m:t>ŷ</m:t>
            </m:r>
          </m:e>
          <m:sub>
            <m:r>
              <m:t>i</m:t>
            </m:r>
          </m:sub>
          <m:sup>
            <m:r>
              <m:t>(t−1)</m:t>
            </m:r>
          </m:sup>
        </m:sSubSup>
      </m:oMath>
      <w:r>
        <w:t xml:space="preserve">	（2-6）</w:t>
      </w:r>
    </w:p>
    <w:p>
      <w:pPr>
        <w:spacing w:after="0" w:before="0" w:line="360"/>
        <w:ind w:firstLine="480"/>
      </w:pPr>
      <w:r>
        <w:rPr>
          <w:sz w:val="24"/>
          <w:szCs w:val="24"/>
        </w:rPr>
        <w:t xml:space="preserve">[0035]正则项对叶子节点数量与叶子权重同时施加惩罚，如式（2-7）所示：</w:t>
      </w:r>
    </w:p>
    <w:p>
      <w:pPr>
        <w:tabs>
          <w:tab w:val="center" w:pos="4513"/>
          <w:tab w:val="right" w:pos="8826"/>
        </w:tabs>
        <w:spacing w:after="120" w:before="120" w:line="360"/>
        <w:jc w:val="left"/>
      </w:pPr>
      <m:oMath>
        <m:r>
          <m:t>Ω(f) = γT + </m:t>
        </m:r>
        <m:d>
          <m:dPr>
            <m:begChr m:val="["/>
            <m:endChr m:val="]"/>
          </m:dPr>
          <m:e>
            <m:r>
              <m:t>1</m:t>
            </m:r>
          </m:e>
        </m:d>
        <m:r>
          <m:t> / </m:t>
        </m:r>
        <m:d>
          <m:dPr>
            <m:begChr m:val="["/>
            <m:endChr m:val="]"/>
          </m:dPr>
          <m:e>
            <m:r>
              <m:t>2</m:t>
            </m:r>
          </m:e>
        </m:d>
        <m:r>
          <m:t>λ</m:t>
        </m:r>
        <m:sSubSup>
          <m:sSubSupPr/>
          <m:e>
            <m:r>
              <m:t>∑</m:t>
            </m:r>
          </m:e>
          <m:sub>
            <m:r>
              <m:t>j = 1</m:t>
            </m:r>
          </m:sub>
          <m:sup>
            <m:r>
              <m:t>T</m:t>
            </m:r>
          </m:sup>
        </m:sSubSup>
        <m:sSup>
          <m:sSupPr/>
          <m:e>
            <m:d>
              <m:dPr>
                <m:begChr m:val="["/>
                <m:endChr m:val="]"/>
              </m:dPr>
              <m:e>
                <m:sSub>
                  <m:sSubPr/>
                  <m:e>
                    <m:r>
                      <m:t>w</m:t>
                    </m:r>
                  </m:e>
                  <m:sub>
                    <m:r>
                      <m:t>j</m:t>
                    </m:r>
                  </m:sub>
                </m:sSub>
              </m:e>
            </m:d>
          </m:e>
          <m:sup>
            <m:r>
              <m:t>2</m:t>
            </m:r>
          </m:sup>
        </m:sSup>
      </m:oMath>
      <w:r>
        <w:t xml:space="preserve">	（2-7）</w:t>
      </w:r>
    </w:p>
    <w:p>
      <w:pPr>
        <w:spacing w:after="0" w:before="0" w:line="360"/>
        <w:ind w:firstLine="480"/>
      </w:pPr>
      <w:r>
        <w:rPr>
          <w:sz w:val="24"/>
          <w:szCs w:val="24"/>
        </w:rPr>
        <w:t xml:space="preserve">[0036]式（2-7）中，T为叶子节点数，w_j为第j个叶子的输出权重，γ为叶子复杂度惩罚系数，λ为L2正则系数。将式（2-6）与式（2-7）代入式（2-5），按叶子节点对样本分组并记G_j=Σ_{i∈I_j}g_i、H_j=Σ_{i∈I_j}h_i，则目标函数可改写为关于叶子权重的二次型；对w_j求偏导并令其为零，得到最优叶子权重，如式（2-8）所示：</w:t>
      </w:r>
    </w:p>
    <w:p>
      <w:pPr>
        <w:tabs>
          <w:tab w:val="center" w:pos="4513"/>
          <w:tab w:val="right" w:pos="8826"/>
        </w:tabs>
        <w:spacing w:after="120" w:before="120" w:line="360"/>
        <w:jc w:val="left"/>
      </w:pPr>
      <m:oMath>
        <m:sSubSup>
          <m:sSubSupPr/>
          <m:e>
            <m:r>
              <m:t>w</m:t>
            </m:r>
          </m:e>
          <m:sub>
            <m:r>
              <m:t>j</m:t>
            </m:r>
          </m:sub>
          <m:sup>
            <m:r>
              <m:t>∗</m:t>
            </m:r>
          </m:sup>
        </m:sSubSup>
        <m:r>
          <m:t> = − </m:t>
        </m:r>
        <m:d>
          <m:dPr>
            <m:begChr m:val="["/>
            <m:endChr m:val="]"/>
          </m:dPr>
          <m:e>
            <m:sSub>
              <m:sSubPr/>
              <m:e>
                <m:r>
                  <m:t>G</m:t>
                </m:r>
              </m:e>
              <m:sub>
                <m:r>
                  <m:t>j</m:t>
                </m:r>
              </m:sub>
            </m:sSub>
          </m:e>
        </m:d>
        <m:r>
          <m:t> / </m:t>
        </m:r>
        <m:d>
          <m:dPr>
            <m:begChr m:val="["/>
            <m:endChr m:val="]"/>
          </m:dPr>
          <m:e>
            <m:sSub>
              <m:sSubPr/>
              <m:e>
                <m:r>
                  <m:t>H</m:t>
                </m:r>
              </m:e>
              <m:sub>
                <m:r>
                  <m:t>j</m:t>
                </m:r>
              </m:sub>
            </m:sSub>
            <m:r>
              <m:t> + λ</m:t>
            </m:r>
          </m:e>
        </m:d>
      </m:oMath>
      <w:r>
        <w:t xml:space="preserve">	（2-8）</w:t>
      </w:r>
    </w:p>
    <w:p>
      <w:pPr>
        <w:spacing w:after="0" w:before="0" w:line="360"/>
        <w:ind w:firstLine="480"/>
      </w:pPr>
      <w:r>
        <w:rPr>
          <w:sz w:val="24"/>
          <w:szCs w:val="24"/>
        </w:rPr>
        <w:t xml:space="preserve">[0037]将式（2-8）回代，得到树结构的最优目标值，如式（2-9）所示：</w:t>
      </w:r>
    </w:p>
    <w:p>
      <w:pPr>
        <w:tabs>
          <w:tab w:val="center" w:pos="4513"/>
          <w:tab w:val="right" w:pos="8826"/>
        </w:tabs>
        <w:spacing w:after="120" w:before="120" w:line="360"/>
        <w:jc w:val="left"/>
      </w:pPr>
      <m:oMath>
        <m:sSup>
          <m:sSupPr/>
          <m:e>
            <m:r>
              <m:t>L̃</m:t>
            </m:r>
          </m:e>
          <m:sup>
            <m:r>
              <m:t>∗</m:t>
            </m:r>
          </m:sup>
        </m:sSup>
        <m:r>
          <m:t> = − </m:t>
        </m:r>
        <m:d>
          <m:dPr>
            <m:begChr m:val="["/>
            <m:endChr m:val="]"/>
          </m:dPr>
          <m:e>
            <m:r>
              <m:t>1</m:t>
            </m:r>
          </m:e>
        </m:d>
        <m:r>
          <m:t> / </m:t>
        </m:r>
        <m:d>
          <m:dPr>
            <m:begChr m:val="["/>
            <m:endChr m:val="]"/>
          </m:dPr>
          <m:e>
            <m:r>
              <m:t>2</m:t>
            </m:r>
          </m:e>
        </m:d>
        <m:sSubSup>
          <m:sSubSupPr/>
          <m:e>
            <m:r>
              <m:t>∑</m:t>
            </m:r>
          </m:e>
          <m:sub>
            <m:r>
              <m:t>j = 1</m:t>
            </m:r>
          </m:sub>
          <m:sup>
            <m:r>
              <m:t>T</m:t>
            </m:r>
          </m:sup>
        </m:sSubSup>
        <m:r>
          <m:t> </m:t>
        </m:r>
        <m:d>
          <m:dPr>
            <m:begChr m:val="["/>
            <m:endChr m:val="]"/>
          </m:dPr>
          <m:e>
            <m:sSup>
              <m:sSupPr/>
              <m:e>
                <m:sSub>
                  <m:sSubPr/>
                  <m:e>
                    <m:r>
                      <m:t>G</m:t>
                    </m:r>
                  </m:e>
                  <m:sub>
                    <m:r>
                      <m:t>j</m:t>
                    </m:r>
                  </m:sub>
                </m:sSub>
              </m:e>
              <m:sup>
                <m:r>
                  <m:t>2</m:t>
                </m:r>
              </m:sup>
            </m:sSup>
          </m:e>
        </m:d>
        <m:r>
          <m:t> / </m:t>
        </m:r>
        <m:d>
          <m:dPr>
            <m:begChr m:val="["/>
            <m:endChr m:val="]"/>
          </m:dPr>
          <m:e>
            <m:sSub>
              <m:sSubPr/>
              <m:e>
                <m:r>
                  <m:t>H</m:t>
                </m:r>
              </m:e>
              <m:sub>
                <m:r>
                  <m:t>j</m:t>
                </m:r>
              </m:sub>
            </m:sSub>
            <m:r>
              <m:t> + λ</m:t>
            </m:r>
          </m:e>
        </m:d>
        <m:r>
          <m:t> + γT</m:t>
        </m:r>
      </m:oMath>
      <w:r>
        <w:t xml:space="preserve">	（2-9）</w:t>
      </w:r>
    </w:p>
    <w:p>
      <w:pPr>
        <w:spacing w:after="0" w:before="0" w:line="360"/>
        <w:ind w:firstLine="480"/>
      </w:pPr>
      <w:r>
        <w:rPr>
          <w:sz w:val="24"/>
          <w:szCs w:val="24"/>
        </w:rPr>
        <w:t xml:space="preserve">[0038]树的生长采用贪心分裂策略：对每个候选分裂点，计算分裂后左右子节点相对父节点的目标函数下降量作为分裂增益，如式（2-10）所示：</w:t>
      </w:r>
    </w:p>
    <w:p>
      <w:pPr>
        <w:tabs>
          <w:tab w:val="center" w:pos="4513"/>
          <w:tab w:val="right" w:pos="8826"/>
        </w:tabs>
        <w:spacing w:after="120" w:before="120" w:line="360"/>
        <w:jc w:val="left"/>
      </w:pPr>
      <m:oMath>
        <m:r>
          <m:t>Gain = </m:t>
        </m:r>
        <m:d>
          <m:dPr>
            <m:begChr m:val="["/>
            <m:endChr m:val="]"/>
          </m:dPr>
          <m:e>
            <m:r>
              <m:t>1</m:t>
            </m:r>
          </m:e>
        </m:d>
        <m:r>
          <m:t> / </m:t>
        </m:r>
        <m:d>
          <m:dPr>
            <m:begChr m:val="["/>
            <m:endChr m:val="]"/>
          </m:dPr>
          <m:e>
            <m:r>
              <m:t>2</m:t>
            </m:r>
          </m:e>
        </m:d>
        <m:d>
          <m:dPr>
            <m:begChr m:val="["/>
            <m:endChr m:val="]"/>
          </m:dPr>
          <m:e>
            <m:d>
              <m:dPr>
                <m:begChr m:val="["/>
                <m:endChr m:val="]"/>
              </m:dPr>
              <m:e>
                <m:sSup>
                  <m:sSupPr/>
                  <m:e>
                    <m:sSub>
                      <m:sSubPr/>
                      <m:e>
                        <m:r>
                          <m:t>G</m:t>
                        </m:r>
                      </m:e>
                      <m:sub>
                        <m:r>
                          <m:t>L</m:t>
                        </m:r>
                      </m:sub>
                    </m:sSub>
                  </m:e>
                  <m:sup>
                    <m:r>
                      <m:t>2</m:t>
                    </m:r>
                  </m:sup>
                </m:sSup>
              </m:e>
            </m:d>
            <m:r>
              <m:t> / </m:t>
            </m:r>
            <m:d>
              <m:dPr>
                <m:begChr m:val="["/>
                <m:endChr m:val="]"/>
              </m:dPr>
              <m:e>
                <m:sSub>
                  <m:sSubPr/>
                  <m:e>
                    <m:r>
                      <m:t>H</m:t>
                    </m:r>
                  </m:e>
                  <m:sub>
                    <m:r>
                      <m:t>L</m:t>
                    </m:r>
                  </m:sub>
                </m:sSub>
                <m:r>
                  <m:t> + λ</m:t>
                </m:r>
              </m:e>
            </m:d>
            <m:r>
              <m:t> + </m:t>
            </m:r>
            <m:d>
              <m:dPr>
                <m:begChr m:val="["/>
                <m:endChr m:val="]"/>
              </m:dPr>
              <m:e>
                <m:sSup>
                  <m:sSupPr/>
                  <m:e>
                    <m:sSub>
                      <m:sSubPr/>
                      <m:e>
                        <m:r>
                          <m:t>G</m:t>
                        </m:r>
                      </m:e>
                      <m:sub>
                        <m:r>
                          <m:t>R</m:t>
                        </m:r>
                      </m:sub>
                    </m:sSub>
                  </m:e>
                  <m:sup>
                    <m:r>
                      <m:t>2</m:t>
                    </m:r>
                  </m:sup>
                </m:sSup>
              </m:e>
            </m:d>
            <m:r>
              <m:t> / </m:t>
            </m:r>
            <m:d>
              <m:dPr>
                <m:begChr m:val="["/>
                <m:endChr m:val="]"/>
              </m:dPr>
              <m:e>
                <m:sSub>
                  <m:sSubPr/>
                  <m:e>
                    <m:r>
                      <m:t>H</m:t>
                    </m:r>
                  </m:e>
                  <m:sub>
                    <m:r>
                      <m:t>R</m:t>
                    </m:r>
                  </m:sub>
                </m:sSub>
                <m:r>
                  <m:t> + λ</m:t>
                </m:r>
              </m:e>
            </m:d>
            <m:r>
              <m:t> − </m:t>
            </m:r>
            <m:d>
              <m:dPr>
                <m:begChr m:val="["/>
                <m:endChr m:val="]"/>
              </m:dPr>
              <m:e>
                <m:sSup>
                  <m:sSupPr/>
                  <m:e>
                    <m:sSub>
                      <m:sSubPr/>
                      <m:e>
                        <m:r>
                          <m:t>G</m:t>
                        </m:r>
                      </m:e>
                      <m:sub>
                        <m:r>
                          <m:t>j</m:t>
                        </m:r>
                      </m:sub>
                    </m:sSub>
                  </m:e>
                  <m:sup>
                    <m:r>
                      <m:t>2</m:t>
                    </m:r>
                  </m:sup>
                </m:sSup>
              </m:e>
            </m:d>
            <m:r>
              <m:t> / </m:t>
            </m:r>
            <m:d>
              <m:dPr>
                <m:begChr m:val="["/>
                <m:endChr m:val="]"/>
              </m:dPr>
              <m:e>
                <m:sSub>
                  <m:sSubPr/>
                  <m:e>
                    <m:r>
                      <m:t>H</m:t>
                    </m:r>
                  </m:e>
                  <m:sub>
                    <m:r>
                      <m:t>j</m:t>
                    </m:r>
                  </m:sub>
                </m:sSub>
                <m:r>
                  <m:t> + λ</m:t>
                </m:r>
              </m:e>
            </m:d>
          </m:e>
        </m:d>
        <m:r>
          <m:t> − γ</m:t>
        </m:r>
      </m:oMath>
      <w:r>
        <w:t xml:space="preserve">	（2-10）</w:t>
      </w:r>
    </w:p>
    <w:p>
      <w:pPr>
        <w:spacing w:after="0" w:before="0" w:line="360"/>
        <w:ind w:firstLine="480"/>
      </w:pPr>
      <w:r>
        <w:rPr>
          <w:sz w:val="24"/>
          <w:szCs w:val="24"/>
        </w:rPr>
        <w:t xml:space="preserve">[0039]式（2-10）中，G_L、H_L与G_R、H_R分别为分裂后左、右子节点的梯度与海森统计量之和；仅当增益大于γ时分裂才被接受，从而在生长阶段即自动剪枝。最终，第t轮模型对样本的压力等级后验概率通过softmax映射给出，如式（2-11）所示：</w:t>
      </w:r>
    </w:p>
    <w:p>
      <w:pPr>
        <w:tabs>
          <w:tab w:val="center" w:pos="4513"/>
          <w:tab w:val="right" w:pos="8826"/>
        </w:tabs>
        <w:spacing w:after="120" w:before="120" w:line="360"/>
        <w:jc w:val="left"/>
      </w:pPr>
      <m:oMath>
        <m:r>
          <m:t>P(y = c ∣ x̃) = </m:t>
        </m:r>
        <m:d>
          <m:dPr>
            <m:begChr m:val="["/>
            <m:endChr m:val="]"/>
          </m:dPr>
          <m:e>
            <m:r>
              <m:t>exp (</m:t>
            </m:r>
            <m:sSub>
              <m:sSubPr/>
              <m:e>
                <m:r>
                  <m:t>F</m:t>
                </m:r>
              </m:e>
              <m:sub>
                <m:r>
                  <m:t>c,t</m:t>
                </m:r>
              </m:sub>
            </m:sSub>
            <m:r>
              <m:t>(x̃))</m:t>
            </m:r>
          </m:e>
        </m:d>
        <m:r>
          <m:t> / </m:t>
        </m:r>
        <m:d>
          <m:dPr>
            <m:begChr m:val="["/>
            <m:endChr m:val="]"/>
          </m:dPr>
          <m:e>
            <m:sSubSup>
              <m:sSubSupPr/>
              <m:e>
                <m:r>
                  <m:t>∑</m:t>
                </m:r>
              </m:e>
              <m:sub>
                <m:r>
                  <m:t>k = 1</m:t>
                </m:r>
              </m:sub>
              <m:sup>
                <m:r>
                  <m:t>C</m:t>
                </m:r>
              </m:sup>
            </m:sSubSup>
            <m:r>
              <m:t> exp (</m:t>
            </m:r>
            <m:sSub>
              <m:sSubPr/>
              <m:e>
                <m:r>
                  <m:t>F</m:t>
                </m:r>
              </m:e>
              <m:sub>
                <m:r>
                  <m:t>k,t</m:t>
                </m:r>
              </m:sub>
            </m:sSub>
            <m:r>
              <m:t>(x̃))</m:t>
            </m:r>
          </m:e>
        </m:d>
      </m:oMath>
      <w:r>
        <w:t xml:space="preserve">	（2-11）</w:t>
      </w:r>
    </w:p>
    <w:p>
      <w:pPr>
        <w:spacing w:after="0" w:before="0" w:line="360"/>
        <w:ind w:firstLine="480"/>
      </w:pPr>
      <w:r>
        <w:rPr>
          <w:sz w:val="24"/>
          <w:szCs w:val="24"/>
        </w:rPr>
        <w:t xml:space="preserve">[0040]式（2-11）中，C为压力等级类别数，F_{c,t}(x̃)为前t轮树对类别c的累计输出。系统将综合状态指数的连续取值空间离散化为五个压力等级L1至L5：L1为放松平稳状态（Index_cps≥80），L2为轻度波动状态（60≤Index_cps&lt;80），L3为中度压力状态（40≤Index_cps&lt;60），L4为高度紧张状态（20≤Index_cps&lt;40），L5为应激警戒状态（Index_cps&lt;20）。分类标签由临床标注与指数区间双重校验生成，模型输出的等级概率向量一方面直接驱动步骤S4的干预决策，另一方面作为不确定性度量：当最大类概率低于预设置信阈值时，系统主动请求下一个评估窗口的补充观测，避免在高不确定性下作出激进的策略切换。</w:t>
      </w:r>
    </w:p>
    <w:p>
      <w:pPr>
        <w:spacing w:after="0" w:before="0" w:line="360"/>
        <w:ind w:firstLine="480"/>
      </w:pPr>
      <w:r>
        <w:rPr>
          <w:sz w:val="24"/>
          <w:szCs w:val="24"/>
        </w:rPr>
        <w:t xml:space="preserve">[0041]步骤S23，基于SHAP值的可解释性归因。为使分级结果具备临床可解释性，系统对XGBoost模型附加SHAP（SHapley Additive exPlanations）解释层。对于给定样本，特征j的SHAP值定义为该特征在全部特征联盟排列中的边际贡献期望，如式（2-12）所示：</w:t>
      </w:r>
    </w:p>
    <w:p>
      <w:pPr>
        <w:tabs>
          <w:tab w:val="center" w:pos="4513"/>
          <w:tab w:val="right" w:pos="8826"/>
        </w:tabs>
        <w:spacing w:after="120" w:before="120" w:line="360"/>
        <w:jc w:val="left"/>
      </w:pPr>
      <m:oMath>
        <m:sSub>
          <m:sSubPr/>
          <m:e>
            <m:r>
              <m:t>φ</m:t>
            </m:r>
          </m:e>
          <m:sub>
            <m:r>
              <m:t>j</m:t>
            </m:r>
          </m:sub>
        </m:sSub>
        <m:r>
          <m:t>(x) = </m:t>
        </m:r>
        <m:sSub>
          <m:sSubPr/>
          <m:e>
            <m:r>
              <m:t>∑</m:t>
            </m:r>
          </m:e>
          <m:sub>
            <m:r>
              <m:t>S ⊆ F ∖ {j}</m:t>
            </m:r>
          </m:sub>
        </m:sSub>
        <m:r>
          <m:t>  </m:t>
        </m:r>
        <m:d>
          <m:dPr>
            <m:begChr m:val="["/>
            <m:endChr m:val="]"/>
          </m:dPr>
          <m:e>
            <m:r>
              <m:t>∣S∣! (K − ∣S∣ − 1)!</m:t>
            </m:r>
          </m:e>
        </m:d>
        <m:r>
          <m:t> / </m:t>
        </m:r>
        <m:d>
          <m:dPr>
            <m:begChr m:val="["/>
            <m:endChr m:val="]"/>
          </m:dPr>
          <m:e>
            <m:r>
              <m:t>K!</m:t>
            </m:r>
          </m:e>
        </m:d>
        <m:d>
          <m:dPr>
            <m:begChr m:val="["/>
            <m:endChr m:val="]"/>
          </m:dPr>
          <m:e>
            <m:r>
              <m:t>f(S ∪ {j}) − f(S)</m:t>
            </m:r>
          </m:e>
        </m:d>
      </m:oMath>
      <w:r>
        <w:t xml:space="preserve">	（2-12）</w:t>
      </w:r>
    </w:p>
    <w:p>
      <w:pPr>
        <w:spacing w:after="0" w:before="0" w:line="360"/>
        <w:ind w:firstLine="480"/>
      </w:pPr>
      <w:r>
        <w:rPr>
          <w:sz w:val="24"/>
          <w:szCs w:val="24"/>
        </w:rPr>
        <w:t xml:space="preserve">[0042]式（2-12）中，F为全部特征集合，K为特征数，S为不包含特征j的特征子集，f(S)为仅使用子集S时的模型输出。全体SHAP值满足局部可加性，即模型预测可分解为基准值与各特征SHAP值之和，如式（2-13）所示：</w:t>
      </w:r>
    </w:p>
    <w:p>
      <w:pPr>
        <w:tabs>
          <w:tab w:val="center" w:pos="4513"/>
          <w:tab w:val="right" w:pos="8826"/>
        </w:tabs>
        <w:spacing w:after="120" w:before="120" w:line="360"/>
        <w:jc w:val="left"/>
      </w:pPr>
      <m:oMath>
        <m:r>
          <m:t>f(x) = </m:t>
        </m:r>
        <m:sSub>
          <m:sSubPr/>
          <m:e>
            <m:r>
              <m:t>φ</m:t>
            </m:r>
          </m:e>
          <m:sub>
            <m:r>
              <m:t>0</m:t>
            </m:r>
          </m:sub>
        </m:sSub>
        <m:r>
          <m:t> + </m:t>
        </m:r>
        <m:sSubSup>
          <m:sSubSupPr/>
          <m:e>
            <m:r>
              <m:t>∑</m:t>
            </m:r>
          </m:e>
          <m:sub>
            <m:r>
              <m:t>j = 1</m:t>
            </m:r>
          </m:sub>
          <m:sup>
            <m:r>
              <m:t>K</m:t>
            </m:r>
          </m:sup>
        </m:sSubSup>
        <m:sSub>
          <m:sSubPr/>
          <m:e>
            <m:r>
              <m:t>φ</m:t>
            </m:r>
          </m:e>
          <m:sub>
            <m:r>
              <m:t>j</m:t>
            </m:r>
          </m:sub>
        </m:sSub>
        <m:r>
          <m:t>(x)</m:t>
        </m:r>
      </m:oMath>
      <w:r>
        <w:t xml:space="preserve">	（2-13）</w:t>
      </w:r>
    </w:p>
    <w:p>
      <w:pPr>
        <w:spacing w:after="0" w:before="0" w:line="360"/>
        <w:ind w:firstLine="480"/>
      </w:pPr>
      <w:r>
        <w:rPr>
          <w:sz w:val="24"/>
          <w:szCs w:val="24"/>
        </w:rPr>
        <w:t xml:space="preserve">[0043]式（2-13）中，φ_0为训练集上的基准预测值。SHAP归因结果随分级结论一并输出至决策调度层：当系统判定参与者处于L4/L5等级时，归因中排名居前的负向特征（如SDNN骤降、Rc陡增或修改次数F_m异常升高）将作为干预靶点显式标注，使后续强化学习策略的动作选择具备明确的生理学依据，而非黑箱驱动。</w:t>
      </w:r>
    </w:p>
    <w:p>
      <w:pPr>
        <w:spacing w:after="120" w:before="240" w:line="360"/>
      </w:pPr>
      <w:r>
        <w:rPr>
          <w:b/>
          <w:bCs/>
          <w:sz w:val="24"/>
          <w:szCs w:val="24"/>
        </w:rPr>
        <w:t xml:space="preserve">步骤S3，基于视觉感知与大语言模型的多模态正念艺术疗愈干预。</w:t>
      </w:r>
    </w:p>
    <w:p>
      <w:pPr>
        <w:spacing w:after="0" w:before="0" w:line="360"/>
        <w:ind w:firstLine="480"/>
      </w:pPr>
      <w:r>
        <w:rPr>
          <w:sz w:val="24"/>
          <w:szCs w:val="24"/>
        </w:rPr>
        <w:t xml:space="preserve">[0044]步骤S2输出的压力等级与SHAP归因结论，在步骤S3中被转化为参与者可直接感知的视听触干预内容。本步骤是自适应调节模块的核心执行层，其将视觉色彩、手势触摸与深度认知加工相结合，形成复合刺激通道；整体包含自我评估的环境隐喻响应、曼陀罗绘画的动态色彩推荐、成稿的视觉语义解析以及心理状态向三维渲染参数的实时映射四个环节。</w:t>
      </w:r>
    </w:p>
    <w:p>
      <w:pPr>
        <w:spacing w:after="0" w:before="0" w:line="360"/>
        <w:ind w:firstLine="480"/>
      </w:pPr>
      <w:r>
        <w:rPr>
          <w:sz w:val="24"/>
          <w:szCs w:val="24"/>
        </w:rPr>
        <w:t xml:space="preserve">[0045]步骤S31，基于环境隐喻的初始状态响应。进入自我评估环节后，系统根据步骤S16输出的初始Index_cps初始化虚拟疗愈空间的环境参数：当Index_cps低于40分、判定为负面/焦虑状态时，系统调用底层渲染引擎降低虚拟场景的环境光照度Illuminance，将动态纹理切换为阴郁云层天气系统，并伴随低频约432Hz的环境底噪。参与者通过头戴式设备摄像头与OpenCV手部关键点检测算法（识别21个手部骨架关键点）或手柄射线，在悬浮的情绪元素（如不同色相的光球）中进行选择；选择行为发生后，系统即时释放光影粒子特效并播放对应频率的共鸣音效，以环境隐喻的方式完成对初始心理状态的隐性评估与即时响应。</w:t>
      </w:r>
    </w:p>
    <w:p>
      <w:pPr>
        <w:spacing w:after="0" w:before="0" w:line="360"/>
        <w:ind w:firstLine="480"/>
      </w:pPr>
      <w:r>
        <w:rPr>
          <w:sz w:val="24"/>
          <w:szCs w:val="24"/>
        </w:rPr>
        <w:t xml:space="preserve">[0046]步骤S32，曼陀罗图像的视觉感知编码。系统基于曼陀罗绘画原理生成数字线稿供参与者填色，并在绘画过程中以固定帧率对画布进行截图，送入视觉Transformer（Vision Transformer，ViT）进行实时特征提取。ViT首先将输入图像切分为互不重叠的图像块，如式（3-1）所示：</w:t>
      </w:r>
    </w:p>
    <w:p>
      <w:pPr>
        <w:tabs>
          <w:tab w:val="center" w:pos="4513"/>
          <w:tab w:val="right" w:pos="8826"/>
        </w:tabs>
        <w:spacing w:after="120" w:before="120" w:line="360"/>
        <w:jc w:val="left"/>
      </w:pPr>
      <m:oMath>
        <m:r>
          <m:t>N = </m:t>
        </m:r>
        <m:d>
          <m:dPr>
            <m:begChr m:val="["/>
            <m:endChr m:val="]"/>
          </m:dPr>
          <m:e>
            <m:r>
              <m:t>H ⋅ W</m:t>
            </m:r>
          </m:e>
        </m:d>
        <m:r>
          <m:t> / </m:t>
        </m:r>
        <m:d>
          <m:dPr>
            <m:begChr m:val="["/>
            <m:endChr m:val="]"/>
          </m:dPr>
          <m:e>
            <m:sSup>
              <m:sSupPr/>
              <m:e>
                <m:r>
                  <m:t>P</m:t>
                </m:r>
              </m:e>
              <m:sup>
                <m:r>
                  <m:t>2</m:t>
                </m:r>
              </m:sup>
            </m:sSup>
          </m:e>
        </m:d>
      </m:oMath>
      <w:r>
        <w:t xml:space="preserve">	（3-1）</w:t>
      </w:r>
    </w:p>
    <w:p>
      <w:pPr>
        <w:spacing w:after="0" w:before="0" w:line="360"/>
        <w:ind w:firstLine="480"/>
      </w:pPr>
      <w:r>
        <w:rPr>
          <w:sz w:val="24"/>
          <w:szCs w:val="24"/>
        </w:rPr>
        <w:t xml:space="preserve">[0047]式（3-1）中，H、W为图像高宽，P为图像块边长，N为图像块数量。每个图像块经线性投影嵌入为带位置编码的块嵌入向量，如式（3-2）所示：</w:t>
      </w:r>
    </w:p>
    <w:p>
      <w:pPr>
        <w:tabs>
          <w:tab w:val="center" w:pos="4513"/>
          <w:tab w:val="right" w:pos="8826"/>
        </w:tabs>
        <w:spacing w:after="120" w:before="120" w:line="360"/>
        <w:jc w:val="left"/>
      </w:pPr>
      <m:oMath>
        <m:sSubSup>
          <m:sSubSupPr/>
          <m:e>
            <m:r>
              <m:t>z</m:t>
            </m:r>
          </m:e>
          <m:sub>
            <m:r>
              <m:t>0</m:t>
            </m:r>
          </m:sub>
          <m:sup>
            <m:r>
              <m:t>i</m:t>
            </m:r>
          </m:sup>
        </m:sSubSup>
        <m:r>
          <m:t> = </m:t>
        </m:r>
        <m:sSub>
          <m:sSubPr/>
          <m:e>
            <m:r>
              <m:t>W</m:t>
            </m:r>
          </m:e>
          <m:sub>
            <m:r>
              <m:t>e</m:t>
            </m:r>
          </m:sub>
        </m:sSub>
        <m:r>
          <m:t> ⋅ Flatten(</m:t>
        </m:r>
        <m:sSubSup>
          <m:sSubSupPr/>
          <m:e>
            <m:r>
              <m:t>x</m:t>
            </m:r>
          </m:e>
          <m:sub>
            <m:r>
              <m:t>p</m:t>
            </m:r>
          </m:sub>
          <m:sup>
            <m:r>
              <m:t>i</m:t>
            </m:r>
          </m:sup>
        </m:sSubSup>
        <m:r>
          <m:t>)</m:t>
        </m:r>
        <m:r>
          <m:t> + </m:t>
        </m:r>
        <m:sSub>
          <m:sSubPr/>
          <m:e>
            <m:r>
              <m:t>b</m:t>
            </m:r>
          </m:e>
          <m:sub>
            <m:r>
              <m:t>e</m:t>
            </m:r>
          </m:sub>
        </m:sSub>
        <m:r>
          <m:t>，  i = 1, 2, …, N</m:t>
        </m:r>
      </m:oMath>
      <w:r>
        <w:t xml:space="preserve">	（3-2）</w:t>
      </w:r>
    </w:p>
    <w:p>
      <w:pPr>
        <w:spacing w:after="0" w:before="0" w:line="360"/>
        <w:ind w:firstLine="480"/>
      </w:pPr>
      <w:r>
        <w:rPr>
          <w:sz w:val="24"/>
          <w:szCs w:val="24"/>
        </w:rPr>
        <w:t xml:space="preserve">[0048]式（3-2）中，x_p^i为第i个图像块的像素矩阵，W_e为块嵌入投影矩阵，b_e为偏置。序列首部插入可学习的类别标记，并叠加正弦位置编码后送入L层Transformer编码器。每层编码器通过多头自注意力机制建模块间全局依赖，单头注意力计算如式（3-3）所示：</w:t>
      </w:r>
    </w:p>
    <w:p>
      <w:pPr>
        <w:tabs>
          <w:tab w:val="center" w:pos="4513"/>
          <w:tab w:val="right" w:pos="8826"/>
        </w:tabs>
        <w:spacing w:after="120" w:before="120" w:line="360"/>
        <w:jc w:val="left"/>
      </w:pPr>
      <m:oMath>
        <m:r>
          <m:t>Attn(Q, K, V) = soft</m:t>
        </m:r>
        <m:r>
          <m:t>max ( QKT ⋅ </m:t>
        </m:r>
        <m:d>
          <m:dPr>
            <m:begChr m:val="["/>
            <m:endChr m:val="]"/>
          </m:dPr>
          <m:e>
            <m:r>
              <m:t>1</m:t>
            </m:r>
          </m:e>
        </m:d>
        <m:r>
          <m:t> / </m:t>
        </m:r>
        <m:d>
          <m:dPr>
            <m:begChr m:val="["/>
            <m:endChr m:val="]"/>
          </m:dPr>
          <m:e>
            <m:r>
              <m:t>√ </m:t>
            </m:r>
            <m:sSub>
              <m:sSubPr/>
              <m:e>
                <m:r>
                  <m:t>d</m:t>
                </m:r>
              </m:e>
              <m:sub>
                <m:r>
                  <m:t>k</m:t>
                </m:r>
              </m:sub>
            </m:sSub>
          </m:e>
        </m:d>
        <m:r>
          <m:t> ) V</m:t>
        </m:r>
      </m:oMath>
      <w:r>
        <w:t xml:space="preserve">	（3-3）</w:t>
      </w:r>
    </w:p>
    <w:p>
      <w:pPr>
        <w:spacing w:after="0" w:before="0" w:line="360"/>
        <w:ind w:firstLine="480"/>
      </w:pPr>
      <w:r>
        <w:rPr>
          <w:sz w:val="24"/>
          <w:szCs w:val="24"/>
        </w:rPr>
        <w:t xml:space="preserve">[0049]式（3-3）中，Q、K、V分别为查询、键、值矩阵，d_k为每个注意力头的维度，除以根号d_k用于缩放点积以防止softmax梯度消失；多头注意力将h组并行注意力的输出拼接后线性融合。编码器末层的类别标记经投影头输出画作的全局视觉表征，用于后续的色彩分布量化与成稿语义解析。</w:t>
      </w:r>
    </w:p>
    <w:p>
      <w:pPr>
        <w:spacing w:after="0" w:before="0" w:line="360"/>
        <w:ind w:firstLine="480"/>
      </w:pPr>
      <w:r>
        <w:rPr>
          <w:sz w:val="24"/>
          <w:szCs w:val="24"/>
        </w:rPr>
        <w:t xml:space="preserve">[0050]步骤S33，绘画行为与色彩特征的结构化量化。在视觉表征之外，系统同步对曼陀罗画作的色彩学参数进行显式量化。系统将画布由RGB色彩空间转换至HSV色彩空间，统计色相直方图并构造色彩分布向量V_c，如式（3-4）所示：</w:t>
      </w:r>
    </w:p>
    <w:p>
      <w:pPr>
        <w:tabs>
          <w:tab w:val="center" w:pos="4513"/>
          <w:tab w:val="right" w:pos="8826"/>
        </w:tabs>
        <w:spacing w:after="120" w:before="120" w:line="360"/>
        <w:jc w:val="left"/>
      </w:pPr>
      <m:oMath>
        <m:sSub>
          <m:sSubPr/>
          <m:e>
            <m:r>
              <m:t>V</m:t>
            </m:r>
          </m:e>
          <m:sub>
            <m:r>
              <m:t>c</m:t>
            </m:r>
          </m:sub>
        </m:sSub>
        <m:r>
          <m:t> = [ </m:t>
        </m:r>
        <m:sSub>
          <m:sSubPr/>
          <m:e>
            <m:r>
              <m:t>h</m:t>
            </m:r>
          </m:e>
          <m:sub>
            <m:r>
              <m:t>1</m:t>
            </m:r>
          </m:sub>
        </m:sSub>
        <m:r>
          <m:t>, </m:t>
        </m:r>
        <m:sSub>
          <m:sSubPr/>
          <m:e>
            <m:r>
              <m:t>h</m:t>
            </m:r>
          </m:e>
          <m:sub>
            <m:r>
              <m:t>2</m:t>
            </m:r>
          </m:sub>
        </m:sSub>
        <m:r>
          <m:t>, …, </m:t>
        </m:r>
        <m:sSub>
          <m:sSubPr/>
          <m:e>
            <m:r>
              <m:t>h</m:t>
            </m:r>
          </m:e>
          <m:sub>
            <m:r>
              <m:t>B</m:t>
            </m:r>
          </m:sub>
        </m:sSub>
        <m:r>
          <m:t> ]，  </m:t>
        </m:r>
        <m:sSub>
          <m:sSubPr/>
          <m:e>
            <m:r>
              <m:t>h</m:t>
            </m:r>
          </m:e>
          <m:sub>
            <m:r>
              <m:t>b</m:t>
            </m:r>
          </m:sub>
        </m:sSub>
        <m:r>
          <m:t> = Area(H = b) / Area(canvas)</m:t>
        </m:r>
      </m:oMath>
      <w:r>
        <w:t xml:space="preserve">	（3-4）</w:t>
      </w:r>
    </w:p>
    <w:p>
      <w:pPr>
        <w:spacing w:after="0" w:before="0" w:line="360"/>
        <w:ind w:firstLine="480"/>
      </w:pPr>
      <w:r>
        <w:rPr>
          <w:sz w:val="24"/>
          <w:szCs w:val="24"/>
        </w:rPr>
        <w:t xml:space="preserve">[0051]式（3-4）中，B为色相分箱数，h_b为第b个色相区间所占画布面积比例。在此基础上，系统进一步计算冷暖色调比R_wc、平均饱和度S̄与平均明度V̄，如式（3-5）所示：</w:t>
      </w:r>
    </w:p>
    <w:p>
      <w:pPr>
        <w:tabs>
          <w:tab w:val="center" w:pos="4513"/>
          <w:tab w:val="right" w:pos="8826"/>
        </w:tabs>
        <w:spacing w:after="120" w:before="120" w:line="360"/>
        <w:jc w:val="left"/>
      </w:pPr>
      <m:oMath>
        <m:sSub>
          <m:sSubPr/>
          <m:e>
            <m:r>
              <m:t>R</m:t>
            </m:r>
          </m:e>
          <m:sub>
            <m:r>
              <m:t>wc</m:t>
            </m:r>
          </m:sub>
        </m:sSub>
        <m:r>
          <m:t> = </m:t>
        </m:r>
        <m:d>
          <m:dPr>
            <m:begChr m:val="["/>
            <m:endChr m:val="]"/>
          </m:dPr>
          <m:e>
            <m:sSub>
              <m:sSubPr/>
              <m:e>
                <m:r>
                  <m:t>∑</m:t>
                </m:r>
              </m:e>
              <m:sub>
                <m:r>
                  <m:t>b ∈ Ω₁</m:t>
                </m:r>
              </m:sub>
            </m:sSub>
            <m:r>
              <m:t> </m:t>
            </m:r>
            <m:sSub>
              <m:sSubPr/>
              <m:e>
                <m:r>
                  <m:t>h</m:t>
                </m:r>
              </m:e>
              <m:sub>
                <m:r>
                  <m:t>b</m:t>
                </m:r>
              </m:sub>
            </m:sSub>
          </m:e>
        </m:d>
        <m:r>
          <m:t> / </m:t>
        </m:r>
        <m:d>
          <m:dPr>
            <m:begChr m:val="["/>
            <m:endChr m:val="]"/>
          </m:dPr>
          <m:e>
            <m:sSub>
              <m:sSubPr/>
              <m:e>
                <m:r>
                  <m:t>∑</m:t>
                </m:r>
              </m:e>
              <m:sub>
                <m:r>
                  <m:t>b ∈ Ω₂</m:t>
                </m:r>
              </m:sub>
            </m:sSub>
            <m:r>
              <m:t> </m:t>
            </m:r>
            <m:sSub>
              <m:sSubPr/>
              <m:e>
                <m:r>
                  <m:t>h</m:t>
                </m:r>
              </m:e>
              <m:sub>
                <m:r>
                  <m:t>b</m:t>
                </m:r>
              </m:sub>
            </m:sSub>
          </m:e>
        </m:d>
      </m:oMath>
      <w:r>
        <w:t xml:space="preserve">	（3-5）</w:t>
      </w:r>
    </w:p>
    <w:p>
      <w:pPr>
        <w:spacing w:after="0" w:before="0" w:line="360"/>
        <w:ind w:firstLine="480"/>
      </w:pPr>
      <w:r>
        <w:rPr>
          <w:sz w:val="24"/>
          <w:szCs w:val="24"/>
        </w:rPr>
        <w:t xml:space="preserve">[0052]式（3-5）中，Ω₁（即Ω_warm）与Ω₂（即Ω_cool）分别为暖色系与冷色系的色相区间集合。同时，系统记录高频修改区域的空间热力图与修改次数F_m。上述结构化特征构成曼陀罗绘画的“客观指标层”：依据色彩心理学与曼陀罗色彩象征体系，正红色对应行动力与能量唤起、蓝色对应镇定与情绪收敛、高饱和度多色相并置常对应高唤醒状态，而反复擦改（F_m异常升高）则提示选择困难与焦躁情绪。</w:t>
      </w:r>
    </w:p>
    <w:p>
      <w:pPr>
        <w:spacing w:after="0" w:before="0" w:line="360"/>
        <w:ind w:firstLine="480"/>
      </w:pPr>
      <w:r>
        <w:rPr>
          <w:sz w:val="24"/>
          <w:szCs w:val="24"/>
        </w:rPr>
        <w:t xml:space="preserve">[0053]步骤S34，动态色彩推荐机制。系统并非被动等待用户上色，而是根据实时Index_cps变化进行主动交互。当监测到行为数据中的修改次数F_m在滑动窗口内异常增多、且Index_cps呈下降趋势时，判定参与者陷入选择困难或情绪焦躁，立即触发自适应干预：结合步骤S33提取的色彩分布向量与SHAP归因靶点，系统在调色盘边缘以动态流光形式高亮推荐补偿色——例如当冷色占比过高且瞳孔指标提示唤醒不足时，推荐小面积正红色区域以唤起行动力；当暖色堆砌且Rc持续升高时，推荐蓝色系区域以引导镇定。推荐色的生成以色彩和谐度约束下的相似度检索实现，如式（3-6）所示：</w:t>
      </w:r>
    </w:p>
    <w:p>
      <w:pPr>
        <w:tabs>
          <w:tab w:val="center" w:pos="4513"/>
          <w:tab w:val="right" w:pos="8826"/>
        </w:tabs>
        <w:spacing w:after="120" w:before="120" w:line="360"/>
        <w:jc w:val="left"/>
      </w:pPr>
      <m:oMath>
        <m:sSubSup>
          <m:sSubSupPr/>
          <m:e>
            <m:r>
              <m:t>c</m:t>
            </m:r>
          </m:e>
          <m:sub>
            <m:r>
              <m:t>rec</m:t>
            </m:r>
          </m:sub>
          <m:sup>
            <m:r>
              <m:t>∗</m:t>
            </m:r>
          </m:sup>
        </m:sSubSup>
        <m:r>
          <m:t> = </m:t>
        </m:r>
        <m:r>
          <m:t>arg </m:t>
        </m:r>
        <m:sSub>
          <m:sSubPr/>
          <m:e>
            <m:r>
              <m:t>max</m:t>
            </m:r>
          </m:e>
          <m:sub>
            <m:r>
              <m:t>c</m:t>
            </m:r>
          </m:sub>
        </m:sSub>
        <m:r>
          <m:t> [ </m:t>
        </m:r>
        <m:r>
          <m:t>α ⋅ si</m:t>
        </m:r>
        <m:r>
          <m:t>m(c, </m:t>
        </m:r>
        <m:sSub>
          <m:sSubPr/>
          <m:e>
            <m:r>
              <m:t>c</m:t>
            </m:r>
          </m:e>
          <m:sub>
            <m:r>
              <m:t>tgt</m:t>
            </m:r>
          </m:sub>
        </m:sSub>
        <m:r>
          <m:t>) + (1 − α) ⋅ </m:t>
        </m:r>
        <m:sSub>
          <m:sSubPr/>
          <m:e>
            <m:r>
              <m:t>Q</m:t>
            </m:r>
          </m:e>
          <m:sub>
            <m:r>
              <m:t>co</m:t>
            </m:r>
            <m:r>
              <m:t>lor</m:t>
            </m:r>
          </m:sub>
        </m:sSub>
        <m:r>
          <m:t>(c, </m:t>
        </m:r>
        <m:sSub>
          <m:sSubPr/>
          <m:e>
            <m:r>
              <m:t>V</m:t>
            </m:r>
          </m:e>
          <m:sub>
            <m:r>
              <m:t>c</m:t>
            </m:r>
          </m:sub>
        </m:sSub>
        <m:r>
          <m:t>)</m:t>
        </m:r>
        <m:r>
          <m:t> ] </m:t>
        </m:r>
        <m:r>
          <m:t> ， c ∈ Ψ_harm</m:t>
        </m:r>
      </m:oMath>
      <w:r>
        <w:t xml:space="preserve">	（3-6）</w:t>
      </w:r>
    </w:p>
    <w:p>
      <w:pPr>
        <w:spacing w:after="0" w:before="0" w:line="360"/>
        <w:ind w:firstLine="480"/>
      </w:pPr>
      <w:r>
        <w:rPr>
          <w:sz w:val="24"/>
          <w:szCs w:val="24"/>
        </w:rPr>
        <w:t xml:space="preserve">[0054]式（3-6）中，Ψ_harm为与当前画作满足互补色/邻近色和谐规则的候选色集合，c_tgt为依据情绪靶点确定的目标色相，sim为色相空间相似度，Q_color为色彩心理学增益函数，α为平衡系数。推荐仅以提示形式呈现，是否采纳完全由参与者决定，保证艺术表达的自主性不被干预破坏。</w:t>
      </w:r>
    </w:p>
    <w:p>
      <w:pPr>
        <w:spacing w:after="0" w:before="0" w:line="360"/>
        <w:ind w:firstLine="480"/>
      </w:pPr>
      <w:r>
        <w:rPr>
          <w:sz w:val="24"/>
          <w:szCs w:val="24"/>
        </w:rPr>
        <w:t xml:space="preserve">[0055]步骤S35，负面环境反馈的自适应衰减。随着曼陀罗绘画完成度Degree_comp的提升，系统构建负面环境衰减函数提供即时视听奖励。设初始负面环境强度（云层厚度、低频噪音音量等）为I⁻(t_0)，则实时环境强度I⁻(t)如式（3-7）所示：</w:t>
      </w:r>
    </w:p>
    <w:p>
      <w:pPr>
        <w:tabs>
          <w:tab w:val="center" w:pos="4513"/>
          <w:tab w:val="right" w:pos="8826"/>
        </w:tabs>
        <w:spacing w:after="120" w:before="120" w:line="360"/>
        <w:jc w:val="left"/>
      </w:pPr>
      <m:oMath>
        <m:r>
          <m:t>I⁻(t) = I⁻(</m:t>
        </m:r>
        <m:sSub>
          <m:sSubPr/>
          <m:e>
            <m:r>
              <m:t>t</m:t>
            </m:r>
          </m:e>
          <m:sub>
            <m:r>
              <m:t>0</m:t>
            </m:r>
          </m:sub>
        </m:sSub>
        <m:r>
          <m:t>) ⋅ </m:t>
        </m:r>
        <m:sSup>
          <m:sSupPr/>
          <m:e>
            <m:r>
              <m:t>e</m:t>
            </m:r>
          </m:e>
          <m:sup>
            <m:r>
              <m:t>−λ ⋅ ( </m:t>
            </m:r>
            <m:sSub>
              <m:sSubPr/>
              <m:e>
                <m:r>
                  <m:t>Index</m:t>
                </m:r>
              </m:e>
              <m:sub>
                <m:r>
                  <m:t>cps</m:t>
                </m:r>
              </m:sub>
            </m:sSub>
            <m:r>
              <m:t>(t) − </m:t>
            </m:r>
            <m:sSub>
              <m:sSubPr/>
              <m:e>
                <m:r>
                  <m:t>Index</m:t>
                </m:r>
              </m:e>
              <m:sub>
                <m:r>
                  <m:t>cps</m:t>
                </m:r>
              </m:sub>
            </m:sSub>
            <m:r>
              <m:t>(</m:t>
            </m:r>
            <m:sSub>
              <m:sSubPr/>
              <m:e>
                <m:r>
                  <m:t>t</m:t>
                </m:r>
              </m:e>
              <m:sub>
                <m:r>
                  <m:t>0</m:t>
                </m:r>
              </m:sub>
            </m:sSub>
            <m:r>
              <m:t>) ) ⋅ </m:t>
            </m:r>
            <m:sSub>
              <m:sSubPr/>
              <m:e>
                <m:r>
                  <m:t>Degree</m:t>
                </m:r>
              </m:e>
              <m:sub>
                <m:r>
                  <m:t>comp</m:t>
                </m:r>
              </m:sub>
            </m:sSub>
          </m:sup>
        </m:sSup>
      </m:oMath>
      <w:r>
        <w:t xml:space="preserve">	（3-7）</w:t>
      </w:r>
    </w:p>
    <w:p>
      <w:pPr>
        <w:spacing w:after="0" w:before="0" w:line="360"/>
        <w:ind w:firstLine="480"/>
      </w:pPr>
      <w:r>
        <w:rPr>
          <w:sz w:val="24"/>
          <w:szCs w:val="24"/>
        </w:rPr>
        <w:t xml:space="preserve">[0056]式（3-7）中，λ为系统预设的调节平滑系数。随着参与者沉浸于绘画，SDNN指标回升、眼动注视比率提高，Index_cps增加，式（3-7）计算出的负面强度呈指数级平滑衰减。参与者将直观体验到：随着画作逐渐丰满，虚拟环境中的阴霾天气逐渐消散，环境光照度缓缓提升，低频底噪过渡为清脆的鸟鸣或水流声，从而在无须任何说教的条件下获得“我的情绪正在变好”的具身掌控感。</w:t>
      </w:r>
    </w:p>
    <w:p>
      <w:pPr>
        <w:spacing w:after="0" w:before="0" w:line="360"/>
        <w:ind w:firstLine="480"/>
      </w:pPr>
      <w:r>
        <w:rPr>
          <w:sz w:val="24"/>
          <w:szCs w:val="24"/>
        </w:rPr>
        <w:t xml:space="preserve">[0057]步骤S36，成稿的大语言模型语义解析。画作完成后，系统进入深度认知评估环节。色彩评估模块将ViT提取的全局视觉表征、步骤S33的结构化色彩特征（V_c、R_wc、S̄、修改热力图）以及整个干预过程的Index_cps曲线，统一转化为结构化文本提示词（Prompt），发送至云端或本地部署的大语言模型（LLM）进行语义解析。提示词中以自然语言描述各特征的数值区间与心理学先验，LLM在此条件下提取表征参与者潜意识情绪的关键词（如“渴望宣泄”“内向防御”“逐步释放”等），并输出量化的心理状态改善得分。为约束生成内容的稳定性，系统要求LLM以结构化模式输出，其语义得分的融合计算如式（3-8）所示：</w:t>
      </w:r>
    </w:p>
    <w:p>
      <w:pPr>
        <w:tabs>
          <w:tab w:val="center" w:pos="4513"/>
          <w:tab w:val="right" w:pos="8826"/>
        </w:tabs>
        <w:spacing w:after="120" w:before="120" w:line="360"/>
        <w:jc w:val="left"/>
      </w:pPr>
      <m:oMath>
        <m:sSub>
          <m:sSubPr/>
          <m:e>
            <m:r>
              <m:t>Score</m:t>
            </m:r>
          </m:e>
          <m:sub>
            <m:r>
              <m:t>art</m:t>
            </m:r>
          </m:sub>
        </m:sSub>
        <m:r>
          <m:t> = </m:t>
        </m:r>
        <m:sSub>
          <m:sSubPr/>
          <m:e>
            <m:r>
              <m:t>w</m:t>
            </m:r>
          </m:e>
          <m:sub>
            <m:r>
              <m:t>1</m:t>
            </m:r>
          </m:sub>
        </m:sSub>
        <m:r>
          <m:t> ⋅ </m:t>
        </m:r>
        <m:sSub>
          <m:sSubPr/>
          <m:e>
            <m:r>
              <m:t>Index</m:t>
            </m:r>
          </m:e>
          <m:sub>
            <m:r>
              <m:t>cps</m:t>
            </m:r>
          </m:sub>
        </m:sSub>
        <m:r>
          <m:t>(end) + </m:t>
        </m:r>
        <m:sSub>
          <m:sSubPr/>
          <m:e>
            <m:r>
              <m:t>w</m:t>
            </m:r>
          </m:e>
          <m:sub>
            <m:r>
              <m:t>2</m:t>
            </m:r>
          </m:sub>
        </m:sSub>
        <m:r>
          <m:t> ⋅ </m:t>
        </m:r>
        <m:sSub>
          <m:sSubPr/>
          <m:e>
            <m:r>
              <m:t>Δ</m:t>
            </m:r>
          </m:e>
          <m:sub>
            <m:r>
              <m:t>cps</m:t>
            </m:r>
          </m:sub>
        </m:sSub>
        <m:r>
          <m:t> + </m:t>
        </m:r>
        <m:sSub>
          <m:sSubPr/>
          <m:e>
            <m:r>
              <m:t>w</m:t>
            </m:r>
          </m:e>
          <m:sub>
            <m:r>
              <m:t>3</m:t>
            </m:r>
          </m:sub>
        </m:sSub>
        <m:r>
          <m:t> ⋅ </m:t>
        </m:r>
        <m:sSub>
          <m:sSubPr/>
          <m:e>
            <m:r>
              <m:t>g</m:t>
            </m:r>
          </m:e>
          <m:sub>
            <m:r>
              <m:t>LLM</m:t>
            </m:r>
          </m:sub>
        </m:sSub>
        <m:r>
          <m:t>(K) + </m:t>
        </m:r>
        <m:sSub>
          <m:sSubPr/>
          <m:e>
            <m:r>
              <m:t>w</m:t>
            </m:r>
          </m:e>
          <m:sub>
            <m:r>
              <m:t>4</m:t>
            </m:r>
          </m:sub>
        </m:sSub>
        <m:r>
          <m:t> ⋅ </m:t>
        </m:r>
        <m:sSub>
          <m:sSubPr/>
          <m:e>
            <m:r>
              <m:t>Degree</m:t>
            </m:r>
          </m:e>
          <m:sub>
            <m:r>
              <m:t>comp</m:t>
            </m:r>
          </m:sub>
        </m:sSub>
      </m:oMath>
      <w:r>
        <w:t xml:space="preserve">	（3-8）</w:t>
      </w:r>
    </w:p>
    <w:p>
      <w:pPr>
        <w:spacing w:after="0" w:before="0" w:line="360"/>
        <w:ind w:firstLine="480"/>
      </w:pPr>
      <w:r>
        <w:rPr>
          <w:sz w:val="24"/>
          <w:szCs w:val="24"/>
        </w:rPr>
        <w:t xml:space="preserve">[0058]式（3-8）中，Δ_cps为干预全程综合状态指数的净提升量，K为LLM输出的情绪关键词集合，g_LLM为关键词情感倾向的量化打分函数，w_1至w_4为归一化权重且和为1。终端接收该得分后执行决策分支：若得分仍低于安全阈值，系统无缝唤醒正念引导模块，提取参与者在步骤S17中生成的个性化音色，以具有心理抚慰含义的文本（如“观察当前的色彩，观察我们内心的潮汐”）引导其进行节奏式呼吸训练。</w:t>
      </w:r>
    </w:p>
    <w:p>
      <w:pPr>
        <w:spacing w:after="0" w:before="0" w:line="360"/>
        <w:ind w:firstLine="480"/>
      </w:pPr>
      <w:r>
        <w:rPr>
          <w:sz w:val="24"/>
          <w:szCs w:val="24"/>
        </w:rPr>
        <w:t xml:space="preserve">[0059]步骤S37，心理状态向三维渲染参数的实时映射。环境动态渲染并非简单的素材切换，而是基于多模态生成模型的实时驱动。系统内部构建深度特征解耦网络，当LLM解析出情绪关键词或Index_cps发生变化时，生成模型将抽象心理状态解耦为具体的视觉与听觉渲染参数集，如式（3-9）所示：</w:t>
      </w:r>
    </w:p>
    <w:p>
      <w:pPr>
        <w:tabs>
          <w:tab w:val="center" w:pos="4513"/>
          <w:tab w:val="right" w:pos="8826"/>
        </w:tabs>
        <w:spacing w:after="120" w:before="120" w:line="360"/>
        <w:jc w:val="left"/>
      </w:pPr>
      <m:oMath>
        <m:sSub>
          <m:sSubPr/>
          <m:e>
            <m:r>
              <m:t>P</m:t>
            </m:r>
          </m:e>
          <m:sub>
            <m:r>
              <m:t>render</m:t>
            </m:r>
          </m:sub>
        </m:sSub>
        <m:r>
          <m:t> = { </m:t>
        </m:r>
        <m:sSub>
          <m:sSubPr/>
          <m:e>
            <m:r>
              <m:t>p</m:t>
            </m:r>
          </m:e>
          <m:sub>
            <m:r>
              <m:t>light</m:t>
            </m:r>
          </m:sub>
        </m:sSub>
        <m:r>
          <m:t>, </m:t>
        </m:r>
        <m:sSub>
          <m:sSubPr/>
          <m:e>
            <m:r>
              <m:t>p</m:t>
            </m:r>
          </m:e>
          <m:sub>
            <m:r>
              <m:t>particle</m:t>
            </m:r>
          </m:sub>
        </m:sSub>
        <m:r>
          <m:t>, </m:t>
        </m:r>
        <m:sSub>
          <m:sSubPr/>
          <m:e>
            <m:r>
              <m:t>p</m:t>
            </m:r>
          </m:e>
          <m:sub>
            <m:r>
              <m:t>audio</m:t>
            </m:r>
          </m:sub>
        </m:sSub>
        <m:r>
          <m:t> } = </m:t>
        </m:r>
        <m:sSub>
          <m:sSubPr/>
          <m:e>
            <m:r>
              <m:t>G</m:t>
            </m:r>
          </m:e>
          <m:sub>
            <m:r>
              <m:t>θ</m:t>
            </m:r>
          </m:sub>
        </m:sSub>
        <m:r>
          <m:t>( </m:t>
        </m:r>
        <m:sSub>
          <m:sSubPr/>
          <m:e>
            <m:r>
              <m:t>Index</m:t>
            </m:r>
          </m:e>
          <m:sub>
            <m:r>
              <m:t>cps</m:t>
            </m:r>
          </m:sub>
        </m:sSub>
        <m:r>
          <m:t>, K, </m:t>
        </m:r>
        <m:sSub>
          <m:sSubPr/>
          <m:e>
            <m:r>
              <m:t>V</m:t>
            </m:r>
          </m:e>
          <m:sub>
            <m:r>
              <m:t>c</m:t>
            </m:r>
          </m:sub>
        </m:sSub>
        <m:r>
          <m:t> )</m:t>
        </m:r>
      </m:oMath>
      <w:r>
        <w:t xml:space="preserve">	（3-9）</w:t>
      </w:r>
    </w:p>
    <w:p>
      <w:pPr>
        <w:spacing w:after="0" w:before="0" w:line="360"/>
        <w:ind w:firstLine="480"/>
      </w:pPr>
      <w:r>
        <w:rPr>
          <w:sz w:val="24"/>
          <w:szCs w:val="24"/>
        </w:rPr>
        <w:t xml:space="preserve">[0060]式（3-9）中，p_light为光照参数向量（色温、照度、体积光密度），p_particle为粒子参数向量（流速、散射半径、色相），p_audio为空间音频参数向量，G_θ为参数解耦网络。以光影粒子特效为例，系统采用基于物理的流体动力学渲染而非播放预制动画，粒子运动速度v_particle受参与者实时心率变异性直接控制，如式（3-10）所示：</w:t>
      </w:r>
    </w:p>
    <w:p>
      <w:pPr>
        <w:tabs>
          <w:tab w:val="center" w:pos="4513"/>
          <w:tab w:val="right" w:pos="8826"/>
        </w:tabs>
        <w:spacing w:after="120" w:before="120" w:line="360"/>
        <w:jc w:val="left"/>
      </w:pPr>
      <m:oMath>
        <m:sSub>
          <m:sSubPr/>
          <m:e>
            <m:r>
              <m:t>v</m:t>
            </m:r>
          </m:e>
          <m:sub>
            <m:r>
              <m:t>particle</m:t>
            </m:r>
          </m:sub>
        </m:sSub>
        <m:r>
          <m:t> = </m:t>
        </m:r>
        <m:d>
          <m:dPr>
            <m:begChr m:val="["/>
            <m:endChr m:val="]"/>
          </m:dPr>
          <m:e>
            <m:r>
              <m:t>α</m:t>
            </m:r>
          </m:e>
        </m:d>
        <m:r>
          <m:t> / </m:t>
        </m:r>
        <m:d>
          <m:dPr>
            <m:begChr m:val="["/>
            <m:endChr m:val="]"/>
          </m:dPr>
          <m:e>
            <m:r>
              <m:t>S⁺(SDNN) + ε</m:t>
            </m:r>
          </m:e>
        </m:d>
      </m:oMath>
      <w:r>
        <w:t xml:space="preserve">	（3-10）</w:t>
      </w:r>
    </w:p>
    <w:p>
      <w:pPr>
        <w:spacing w:after="0" w:before="0" w:line="360"/>
        <w:ind w:firstLine="480"/>
      </w:pPr>
      <w:r>
        <w:rPr>
          <w:sz w:val="24"/>
          <w:szCs w:val="24"/>
        </w:rPr>
        <w:t xml:space="preserve">[0061]式（3-10）中，α为基础流速常数，ε为防止分母为零的极小值。该式表明：参与者自主神经越放松、SDNN归一化得分越高，粒子流动越舒缓柔和，从而在视觉上进一步暗示其保持平静，形成“生理状态—视觉反馈—生理状态”的双向共振。粒子散射半径r_scatter则与注视时长T_f正相关，注视越稳定，粒子汇聚成的视觉形态越完整。</w:t>
      </w:r>
    </w:p>
    <w:p>
      <w:pPr>
        <w:spacing w:after="0" w:before="0" w:line="360"/>
        <w:ind w:firstLine="480"/>
      </w:pPr>
      <w:r>
        <w:rPr>
          <w:sz w:val="24"/>
          <w:szCs w:val="24"/>
        </w:rPr>
        <w:t xml:space="preserve">[0062]听觉参数p_audio通过头部相关传输函数（HRTF）进行空间化处理：当系统检测到参与者视线焦点转移至画布不同区域时，正念引导语音与环境音（如风声、水流声）的声源位置随之在三维虚拟空间中平滑移动，声像方位角θ_s随注视方位角θ_gaze的映射如式（3-11）所示：</w:t>
      </w:r>
    </w:p>
    <w:p>
      <w:pPr>
        <w:tabs>
          <w:tab w:val="center" w:pos="4513"/>
          <w:tab w:val="right" w:pos="8826"/>
        </w:tabs>
        <w:spacing w:after="120" w:before="120" w:line="360"/>
        <w:jc w:val="left"/>
      </w:pPr>
      <m:oMath>
        <m:sSub>
          <m:sSubPr/>
          <m:e>
            <m:r>
              <m:t>θ</m:t>
            </m:r>
          </m:e>
          <m:sub>
            <m:r>
              <m:t>s</m:t>
            </m:r>
          </m:sub>
        </m:sSub>
        <m:r>
          <m:t>(t) = </m:t>
        </m:r>
        <m:sSub>
          <m:sSubPr/>
          <m:e>
            <m:r>
              <m:t>θ</m:t>
            </m:r>
          </m:e>
          <m:sub>
            <m:r>
              <m:t>s</m:t>
            </m:r>
          </m:sub>
        </m:sSub>
        <m:r>
          <m:t>(t − 1) + κ ⋅ ( </m:t>
        </m:r>
        <m:sSub>
          <m:sSubPr/>
          <m:e>
            <m:r>
              <m:t>θ</m:t>
            </m:r>
          </m:e>
          <m:sub>
            <m:r>
              <m:t>gaze</m:t>
            </m:r>
          </m:sub>
        </m:sSub>
        <m:r>
          <m:t>(t) − </m:t>
        </m:r>
        <m:sSub>
          <m:sSubPr/>
          <m:e>
            <m:r>
              <m:t>θ</m:t>
            </m:r>
          </m:e>
          <m:sub>
            <m:r>
              <m:t>s</m:t>
            </m:r>
          </m:sub>
        </m:sSub>
        <m:r>
          <m:t>(t − 1) )</m:t>
        </m:r>
      </m:oMath>
      <w:r>
        <w:t xml:space="preserve">	（3-11）</w:t>
      </w:r>
    </w:p>
    <w:p>
      <w:pPr>
        <w:spacing w:after="0" w:before="0" w:line="360"/>
        <w:ind w:firstLine="480"/>
      </w:pPr>
      <w:r>
        <w:rPr>
          <w:sz w:val="24"/>
          <w:szCs w:val="24"/>
        </w:rPr>
        <w:t xml:space="preserve">[0063]式（3-11）中，κ为平滑跟随系数（0&lt;κ&lt;1），用于避免声源跳变。听觉与视觉空间的高度锚定最大化了在场感。在呼吸训练环节，视觉界面的光影随4-7-8呼吸法（吸气4秒、屏息7秒、呼气8秒）的节奏进行同频明暗闪烁，听觉与视觉构成的复合节拍器共同作用于副交感神经系统，直至心率变异性等生理数据恢复至平稳基线。</w:t>
      </w:r>
    </w:p>
    <w:p>
      <w:pPr>
        <w:spacing w:after="120" w:before="240" w:line="360"/>
      </w:pPr>
      <w:r>
        <w:rPr>
          <w:b/>
          <w:bCs/>
          <w:sz w:val="24"/>
          <w:szCs w:val="24"/>
        </w:rPr>
        <w:t xml:space="preserve">步骤S4，基于约束强化学习的决策调度与柔性熔断。</w:t>
      </w:r>
    </w:p>
    <w:p>
      <w:pPr>
        <w:spacing w:after="0" w:before="0" w:line="360"/>
        <w:ind w:firstLine="480"/>
      </w:pPr>
      <w:r>
        <w:rPr>
          <w:sz w:val="24"/>
          <w:szCs w:val="24"/>
        </w:rPr>
        <w:t xml:space="preserve">[0064]步骤S3解决了“用什么内容干预”的问题，步骤S4解决“在什么时机、以什么强度、按什么顺序干预”的问题。本步骤将干预流程建模为安全约束下的序贯决策问题：智能体在每个决策时刻依据状态评估层输出的压力等级与SHAP归因，从正念呼吸、自我评估、色彩疗愈、空间音频放松等干预模块构成的动作空间中选择组合动作，并在安全约束的硬性边界内驱动干预路径的自适应演进；当监测到急性应激征兆时，立即触发柔性熔断与认知负荷降级。</w:t>
      </w:r>
    </w:p>
    <w:p>
      <w:pPr>
        <w:spacing w:after="0" w:before="0" w:line="360"/>
        <w:ind w:firstLine="480"/>
      </w:pPr>
      <w:r>
        <w:rPr>
          <w:sz w:val="24"/>
          <w:szCs w:val="24"/>
        </w:rPr>
        <w:t xml:space="preserve">[0065]步骤S41，约束马尔可夫决策过程建模。系统将疗愈会话建模为约束马尔可夫决策过程（Constrained Markov Decision Process，CMDP），由元组(S, A, P, r, C, d, γ)描述，其中S为状态空间（压力等级概率向量、Index_cps序列、行为特征构成），A为动作空间（干预模块的离散组合），P为状态转移概率，r为奖励函数，C为代价函数，d为安全代价预算，γ为折扣因子。策略优化的目标是在期望代价不超过预算的前提下最大化期望折扣回报，如式（4-1）所示：</w:t>
      </w:r>
    </w:p>
    <w:p>
      <w:pPr>
        <w:tabs>
          <w:tab w:val="center" w:pos="4513"/>
          <w:tab w:val="right" w:pos="8826"/>
        </w:tabs>
        <w:spacing w:after="120" w:before="120" w:line="360"/>
        <w:jc w:val="left"/>
      </w:pPr>
      <m:oMath>
        <m:sSub>
          <m:sSubPr/>
          <m:e>
            <m:r>
              <m:t>max</m:t>
            </m:r>
          </m:e>
          <m:sub>
            <m:r>
              <m:t>π</m:t>
            </m:r>
          </m:sub>
        </m:sSub>
        <m:r>
          <m:t>  </m:t>
        </m:r>
        <m:sSub>
          <m:sSubPr/>
          <m:e>
            <m:r>
              <m:t>J</m:t>
            </m:r>
          </m:e>
          <m:sub>
            <m:r>
              <m:t>r</m:t>
            </m:r>
          </m:sub>
        </m:sSub>
        <m:r>
          <m:t>(π) = </m:t>
        </m:r>
        <m:sSub>
          <m:sSubPr/>
          <m:e>
            <m:r>
              <m:t>E</m:t>
            </m:r>
          </m:e>
          <m:sub>
            <m:r>
              <m:t>τ ∼ π</m:t>
            </m:r>
          </m:sub>
        </m:sSub>
        <m:r>
          <m:t> [ </m:t>
        </m:r>
        <m:sSubSup>
          <m:sSubSupPr/>
          <m:e>
            <m:r>
              <m:t>∑</m:t>
            </m:r>
          </m:e>
          <m:sub>
            <m:r>
              <m:t>t = 0</m:t>
            </m:r>
          </m:sub>
          <m:sup>
            <m:r>
              <m:t>∞</m:t>
            </m:r>
          </m:sup>
        </m:sSubSup>
        <m:r>
          <m:t> </m:t>
        </m:r>
        <m:sSup>
          <m:sSupPr/>
          <m:e>
            <m:r>
              <m:t>γ</m:t>
            </m:r>
          </m:e>
          <m:sup>
            <m:r>
              <m:t>t</m:t>
            </m:r>
          </m:sup>
        </m:sSup>
        <m:r>
          <m:t> r(</m:t>
        </m:r>
        <m:sSub>
          <m:sSubPr/>
          <m:e>
            <m:r>
              <m:t>s</m:t>
            </m:r>
          </m:e>
          <m:sub>
            <m:r>
              <m:t>t</m:t>
            </m:r>
          </m:sub>
        </m:sSub>
        <m:r>
          <m:t>, </m:t>
        </m:r>
        <m:sSub>
          <m:sSubPr/>
          <m:e>
            <m:r>
              <m:t>a</m:t>
            </m:r>
          </m:e>
          <m:sub>
            <m:r>
              <m:t>t</m:t>
            </m:r>
          </m:sub>
        </m:sSub>
        <m:r>
          <m:t>) </m:t>
        </m:r>
        <m:r>
          <m:t>] </m:t>
        </m:r>
      </m:oMath>
      <w:r>
        <w:t xml:space="preserve">	（4-1）</w:t>
      </w:r>
    </w:p>
    <w:p>
      <w:pPr>
        <w:spacing w:after="0" w:before="0" w:line="360"/>
        <w:ind w:firstLine="480"/>
      </w:pPr>
      <w:r>
        <w:rPr>
          <w:sz w:val="24"/>
          <w:szCs w:val="24"/>
        </w:rPr>
        <w:t xml:space="preserve">[0066]其安全约束如式（4-2）所示：</w:t>
      </w:r>
    </w:p>
    <w:p>
      <w:pPr>
        <w:tabs>
          <w:tab w:val="center" w:pos="4513"/>
          <w:tab w:val="right" w:pos="8826"/>
        </w:tabs>
        <w:spacing w:after="120" w:before="120" w:line="360"/>
        <w:jc w:val="left"/>
      </w:pPr>
      <m:oMath>
        <m:sSub>
          <m:sSubPr/>
          <m:e>
            <m:r>
              <m:t>J</m:t>
            </m:r>
          </m:e>
          <m:sub>
            <m:r>
              <m:t>C</m:t>
            </m:r>
          </m:sub>
        </m:sSub>
        <m:r>
          <m:t>(π) = </m:t>
        </m:r>
        <m:sSub>
          <m:sSubPr/>
          <m:e>
            <m:r>
              <m:t>E</m:t>
            </m:r>
          </m:e>
          <m:sub>
            <m:r>
              <m:t>τ ∼ π</m:t>
            </m:r>
          </m:sub>
        </m:sSub>
        <m:r>
          <m:t> [ </m:t>
        </m:r>
        <m:sSubSup>
          <m:sSubSupPr/>
          <m:e>
            <m:r>
              <m:t>∑</m:t>
            </m:r>
          </m:e>
          <m:sub>
            <m:r>
              <m:t>t = 0</m:t>
            </m:r>
          </m:sub>
          <m:sup>
            <m:r>
              <m:t>∞</m:t>
            </m:r>
          </m:sup>
        </m:sSubSup>
        <m:r>
          <m:t> </m:t>
        </m:r>
        <m:sSup>
          <m:sSupPr/>
          <m:e>
            <m:r>
              <m:t>γ</m:t>
            </m:r>
          </m:e>
          <m:sup>
            <m:r>
              <m:t>t</m:t>
            </m:r>
          </m:sup>
        </m:sSup>
        <m:r>
          <m:t> C(</m:t>
        </m:r>
        <m:sSub>
          <m:sSubPr/>
          <m:e>
            <m:r>
              <m:t>s</m:t>
            </m:r>
          </m:e>
          <m:sub>
            <m:r>
              <m:t>t</m:t>
            </m:r>
          </m:sub>
        </m:sSub>
        <m:r>
          <m:t>, </m:t>
        </m:r>
        <m:sSub>
          <m:sSubPr/>
          <m:e>
            <m:r>
              <m:t>a</m:t>
            </m:r>
          </m:e>
          <m:sub>
            <m:r>
              <m:t>t</m:t>
            </m:r>
          </m:sub>
        </m:sSub>
        <m:r>
          <m:t>) </m:t>
        </m:r>
        <m:r>
          <m:t>] </m:t>
        </m:r>
        <m:r>
          <m:t> ≤ d</m:t>
        </m:r>
      </m:oMath>
      <w:r>
        <w:t xml:space="preserve">	（4-2）</w:t>
      </w:r>
    </w:p>
    <w:p>
      <w:pPr>
        <w:spacing w:after="0" w:before="0" w:line="360"/>
        <w:ind w:firstLine="480"/>
      </w:pPr>
      <w:r>
        <w:rPr>
          <w:sz w:val="24"/>
          <w:szCs w:val="24"/>
        </w:rPr>
        <w:t xml:space="preserve">[0067]式（4-2）中，代价函数C在动作导致Index_cps下降、Rc陡增或认知负荷超载时取正值，d为单次会话内允许的累计安全代价上限。该约束保证策略永远不会以牺牲参与者心理安全为代价追求奖励最大化。</w:t>
      </w:r>
    </w:p>
    <w:p>
      <w:pPr>
        <w:spacing w:after="0" w:before="0" w:line="360"/>
        <w:ind w:firstLine="480"/>
      </w:pPr>
      <w:r>
        <w:rPr>
          <w:sz w:val="24"/>
          <w:szCs w:val="24"/>
        </w:rPr>
        <w:t xml:space="preserve">[0068]步骤S42，多目标奖励函数设计。奖励信号综合考量状态改善幅度、干预模块间的协同增益以及活动难度与参与者当前能力的匹配程度，如式（4-3）所示：</w:t>
      </w:r>
    </w:p>
    <w:p>
      <w:pPr>
        <w:tabs>
          <w:tab w:val="center" w:pos="4513"/>
          <w:tab w:val="right" w:pos="8826"/>
        </w:tabs>
        <w:spacing w:after="120" w:before="120" w:line="360"/>
        <w:jc w:val="left"/>
      </w:pPr>
      <m:oMath>
        <m:r>
          <m:t>r(</m:t>
        </m:r>
        <m:sSub>
          <m:sSubPr/>
          <m:e>
            <m:r>
              <m:t>s</m:t>
            </m:r>
          </m:e>
          <m:sub>
            <m:r>
              <m:t>t</m:t>
            </m:r>
          </m:sub>
        </m:sSub>
        <m:r>
          <m:t>, </m:t>
        </m:r>
        <m:sSub>
          <m:sSubPr/>
          <m:e>
            <m:r>
              <m:t>a</m:t>
            </m:r>
          </m:e>
          <m:sub>
            <m:r>
              <m:t>t</m:t>
            </m:r>
          </m:sub>
        </m:sSub>
        <m:r>
          <m:t>) = </m:t>
        </m:r>
        <m:sSub>
          <m:sSubPr/>
          <m:e>
            <m:r>
              <m:t>β</m:t>
            </m:r>
          </m:e>
          <m:sub>
            <m:r>
              <m:t>1</m:t>
            </m:r>
          </m:sub>
        </m:sSub>
        <m:r>
          <m:t> ⋅ Δ</m:t>
        </m:r>
        <m:sSub>
          <m:sSubPr/>
          <m:e>
            <m:r>
              <m:t>Index</m:t>
            </m:r>
          </m:e>
          <m:sub>
            <m:r>
              <m:t>cps</m:t>
            </m:r>
          </m:sub>
        </m:sSub>
        <m:r>
          <m:t> + </m:t>
        </m:r>
        <m:sSub>
          <m:sSubPr/>
          <m:e>
            <m:r>
              <m:t>β</m:t>
            </m:r>
          </m:e>
          <m:sub>
            <m:r>
              <m:t>2</m:t>
            </m:r>
          </m:sub>
        </m:sSub>
        <m:r>
          <m:t> ⋅ </m:t>
        </m:r>
        <m:sSub>
          <m:sSubPr/>
          <m:e>
            <m:r>
              <m:t>Syn</m:t>
            </m:r>
          </m:e>
          <m:sub>
            <m:r>
              <m:t>t</m:t>
            </m:r>
          </m:sub>
        </m:sSub>
        <m:r>
          <m:t> + </m:t>
        </m:r>
        <m:sSub>
          <m:sSubPr/>
          <m:e>
            <m:r>
              <m:t>β</m:t>
            </m:r>
          </m:e>
          <m:sub>
            <m:r>
              <m:t>3</m:t>
            </m:r>
          </m:sub>
        </m:sSub>
        <m:r>
          <m:t> ⋅ </m:t>
        </m:r>
        <m:sSub>
          <m:sSubPr/>
          <m:e>
            <m:r>
              <m:t>Match</m:t>
            </m:r>
          </m:e>
          <m:sub>
            <m:r>
              <m:t>t</m:t>
            </m:r>
          </m:sub>
        </m:sSub>
        <m:r>
          <m:t> − </m:t>
        </m:r>
        <m:sSub>
          <m:sSubPr/>
          <m:e>
            <m:r>
              <m:t>β</m:t>
            </m:r>
          </m:e>
          <m:sub>
            <m:r>
              <m:t>4</m:t>
            </m:r>
          </m:sub>
        </m:sSub>
        <m:r>
          <m:t> ⋅ </m:t>
        </m:r>
        <m:sSub>
          <m:sSubPr/>
          <m:e>
            <m:r>
              <m:t>Load</m:t>
            </m:r>
          </m:e>
          <m:sub>
            <m:r>
              <m:t>t</m:t>
            </m:r>
          </m:sub>
        </m:sSub>
      </m:oMath>
      <w:r>
        <w:t xml:space="preserve">	（4-3）</w:t>
      </w:r>
    </w:p>
    <w:p>
      <w:pPr>
        <w:spacing w:after="0" w:before="0" w:line="360"/>
        <w:ind w:firstLine="480"/>
      </w:pPr>
      <w:r>
        <w:rPr>
          <w:sz w:val="24"/>
          <w:szCs w:val="24"/>
        </w:rPr>
        <w:t xml:space="preserve">[0069]式（4-3）中，ΔIndex_cps为动作执行前后综合状态指数的提升量；Syn_t为所选干预模块两两之间的协同增益，由模块历史共现条件下的状态改善互信息估计，如式（4-4）所示：</w:t>
      </w:r>
    </w:p>
    <w:p>
      <w:pPr>
        <w:tabs>
          <w:tab w:val="center" w:pos="4513"/>
          <w:tab w:val="right" w:pos="8826"/>
        </w:tabs>
        <w:spacing w:after="120" w:before="120" w:line="360"/>
        <w:jc w:val="left"/>
      </w:pPr>
      <m:oMath>
        <m:sSub>
          <m:sSubPr/>
          <m:e>
            <m:r>
              <m:t>Syn</m:t>
            </m:r>
          </m:e>
          <m:sub>
            <m:r>
              <m:t>t</m:t>
            </m:r>
          </m:sub>
        </m:sSub>
        <m:r>
          <m:t> = [ 2 / m(m − 1) ] ⋅ </m:t>
        </m:r>
        <m:sSub>
          <m:sSubPr/>
          <m:e>
            <m:r>
              <m:t>∑</m:t>
            </m:r>
          </m:e>
          <m:sub>
            <m:r>
              <m:t>u &lt; v</m:t>
            </m:r>
          </m:sub>
        </m:sSub>
        <m:r>
          <m:t> MI( </m:t>
        </m:r>
        <m:sSub>
          <m:sSubPr/>
          <m:e>
            <m:r>
              <m:t>M</m:t>
            </m:r>
          </m:e>
          <m:sub>
            <m:r>
              <m:t>u</m:t>
            </m:r>
          </m:sub>
        </m:sSub>
        <m:r>
          <m:t> ; </m:t>
        </m:r>
        <m:sSub>
          <m:sSubPr/>
          <m:e>
            <m:r>
              <m:t>M</m:t>
            </m:r>
          </m:e>
          <m:sub>
            <m:r>
              <m:t>v</m:t>
            </m:r>
          </m:sub>
        </m:sSub>
        <m:r>
          <m:t> ∣ Δ )</m:t>
        </m:r>
      </m:oMath>
      <w:r>
        <w:t xml:space="preserve">	（4-4）</w:t>
      </w:r>
    </w:p>
    <w:p>
      <w:pPr>
        <w:spacing w:after="0" w:before="0" w:line="360"/>
        <w:ind w:firstLine="480"/>
      </w:pPr>
      <w:r>
        <w:rPr>
          <w:sz w:val="24"/>
          <w:szCs w:val="24"/>
        </w:rPr>
        <w:t xml:space="preserve">[0070]式（4-4）中，m为组合动作包含的模块数，求和遍历组合动作中全部模块两两配对（u,v），MI为条件互信息，Δ为条件变量（即动作前后的状态改善量）。Match_t为活动难度等级与参与者能力等级的匹配度，Load_t为当前认知负荷估计（由Rc与交互响应时延联合表征），β_1至β_4为预设权重系数。</w:t>
      </w:r>
    </w:p>
    <w:p>
      <w:pPr>
        <w:spacing w:after="0" w:before="0" w:line="360"/>
        <w:ind w:firstLine="480"/>
      </w:pPr>
      <w:r>
        <w:rPr>
          <w:sz w:val="24"/>
          <w:szCs w:val="24"/>
        </w:rPr>
        <w:t xml:space="preserve">[0071]步骤S43，基于拉格朗日松弛的近端策略优化。系统采用近端策略优化（PPO）在约束下训练策略网络，并通过拉格朗日乘子将式（4-2）的安全约束转化为可微惩罚项。第k轮策略更新的截断目标函数如式（4-5）所示：</w:t>
      </w:r>
    </w:p>
    <w:p>
      <w:pPr>
        <w:tabs>
          <w:tab w:val="center" w:pos="4513"/>
          <w:tab w:val="right" w:pos="8826"/>
        </w:tabs>
        <w:spacing w:after="120" w:before="120" w:line="360"/>
        <w:jc w:val="left"/>
      </w:pPr>
      <m:oMath>
        <m:sSup>
          <m:sSupPr/>
          <m:e>
            <m:r>
              <m:t>L</m:t>
            </m:r>
          </m:e>
          <m:sup>
            <m:r>
              <m:t>CLIP</m:t>
            </m:r>
          </m:sup>
        </m:sSup>
        <m:r>
          <m:t>(θ) = </m:t>
        </m:r>
        <m:sSub>
          <m:sSubPr/>
          <m:e>
            <m:r>
              <m:t>E</m:t>
            </m:r>
          </m:e>
          <m:sub>
            <m:r>
              <m:t>t</m:t>
            </m:r>
          </m:sub>
        </m:sSub>
        <m:d>
          <m:dPr>
            <m:begChr m:val="["/>
            <m:endChr m:val="]"/>
          </m:dPr>
          <m:e>
            <m:r>
              <m:t>min ( </m:t>
            </m:r>
            <m:sSub>
              <m:sSubPr/>
              <m:e>
                <m:r>
                  <m:t>r</m:t>
                </m:r>
              </m:e>
              <m:sub>
                <m:r>
                  <m:t>t</m:t>
                </m:r>
              </m:sub>
            </m:sSub>
            <m:r>
              <m:t>(θ) </m:t>
            </m:r>
            <m:sSub>
              <m:sSubPr/>
              <m:e>
                <m:r>
                  <m:t>Â</m:t>
                </m:r>
              </m:e>
              <m:sub>
                <m:r>
                  <m:t>t</m:t>
                </m:r>
              </m:sub>
            </m:sSub>
            <m:r>
              <m:t> ,  clip( </m:t>
            </m:r>
            <m:sSub>
              <m:sSubPr/>
              <m:e>
                <m:r>
                  <m:t>r</m:t>
                </m:r>
              </m:e>
              <m:sub>
                <m:r>
                  <m:t>t</m:t>
                </m:r>
              </m:sub>
            </m:sSub>
            <m:r>
              <m:t>(θ), 1 − ε, 1 + ε ) </m:t>
            </m:r>
            <m:sSub>
              <m:sSubPr/>
              <m:e>
                <m:r>
                  <m:t>Â</m:t>
                </m:r>
              </m:e>
              <m:sub>
                <m:r>
                  <m:t>t</m:t>
                </m:r>
              </m:sub>
            </m:sSub>
            <m:r>
              <m:t> )</m:t>
            </m:r>
          </m:e>
        </m:d>
      </m:oMath>
      <w:r>
        <w:t xml:space="preserve">	（4-5）</w:t>
      </w:r>
    </w:p>
    <w:p>
      <w:pPr>
        <w:spacing w:after="0" w:before="0" w:line="360"/>
        <w:ind w:firstLine="480"/>
      </w:pPr>
      <w:r>
        <w:rPr>
          <w:sz w:val="24"/>
          <w:szCs w:val="24"/>
        </w:rPr>
        <w:t xml:space="preserve">[0072]式（4-5）中，概率比r_t(θ)为新策略（参数θ）与旧策略在同一状态动作对上的概率之比，旧策略网络的参数记为θ′（即上一轮更新前的θ），如式（4-6）所示：</w:t>
      </w:r>
    </w:p>
    <w:p>
      <w:pPr>
        <w:tabs>
          <w:tab w:val="center" w:pos="4513"/>
          <w:tab w:val="right" w:pos="8826"/>
        </w:tabs>
        <w:spacing w:after="120" w:before="120" w:line="360"/>
        <w:jc w:val="left"/>
      </w:pPr>
      <m:oMath>
        <m:sSub>
          <m:sSubPr/>
          <m:e>
            <m:r>
              <m:t>r</m:t>
            </m:r>
          </m:e>
          <m:sub>
            <m:r>
              <m:t>t</m:t>
            </m:r>
          </m:sub>
        </m:sSub>
        <m:r>
          <m:t>(θ) = </m:t>
        </m:r>
        <m:d>
          <m:dPr>
            <m:begChr m:val="["/>
            <m:endChr m:val="]"/>
          </m:dPr>
          <m:e>
            <m:sSub>
              <m:sSubPr/>
              <m:e>
                <m:r>
                  <m:t>π</m:t>
                </m:r>
              </m:e>
              <m:sub>
                <m:r>
                  <m:t>θ</m:t>
                </m:r>
              </m:sub>
            </m:sSub>
            <m:r>
              <m:t>(</m:t>
            </m:r>
            <m:sSub>
              <m:sSubPr/>
              <m:e>
                <m:r>
                  <m:t>a</m:t>
                </m:r>
              </m:e>
              <m:sub>
                <m:r>
                  <m:t>t</m:t>
                </m:r>
              </m:sub>
            </m:sSub>
            <m:r>
              <m:t> ∣ </m:t>
            </m:r>
            <m:sSub>
              <m:sSubPr/>
              <m:e>
                <m:r>
                  <m:t>s</m:t>
                </m:r>
              </m:e>
              <m:sub>
                <m:r>
                  <m:t>t</m:t>
                </m:r>
              </m:sub>
            </m:sSub>
            <m:r>
              <m:t>)</m:t>
            </m:r>
          </m:e>
        </m:d>
        <m:r>
          <m:t> / </m:t>
        </m:r>
        <m:d>
          <m:dPr>
            <m:begChr m:val="["/>
            <m:endChr m:val="]"/>
          </m:dPr>
          <m:e>
            <m:sSub>
              <m:sSubPr/>
              <m:e>
                <m:r>
                  <m:t>π</m:t>
                </m:r>
              </m:e>
              <m:sub>
                <m:r>
                  <m:t>θ′</m:t>
                </m:r>
              </m:sub>
            </m:sSub>
            <m:r>
              <m:t>(</m:t>
            </m:r>
            <m:sSub>
              <m:sSubPr/>
              <m:e>
                <m:r>
                  <m:t>a</m:t>
                </m:r>
              </m:e>
              <m:sub>
                <m:r>
                  <m:t>t</m:t>
                </m:r>
              </m:sub>
            </m:sSub>
            <m:r>
              <m:t> ∣ </m:t>
            </m:r>
            <m:sSub>
              <m:sSubPr/>
              <m:e>
                <m:r>
                  <m:t>s</m:t>
                </m:r>
              </m:e>
              <m:sub>
                <m:r>
                  <m:t>t</m:t>
                </m:r>
              </m:sub>
            </m:sSub>
            <m:r>
              <m:t>)</m:t>
            </m:r>
          </m:e>
        </m:d>
      </m:oMath>
      <w:r>
        <w:t xml:space="preserve">	（4-6）</w:t>
      </w:r>
    </w:p>
    <w:p>
      <w:pPr>
        <w:spacing w:after="0" w:before="0" w:line="360"/>
        <w:ind w:firstLine="480"/>
      </w:pPr>
      <w:r>
        <w:rPr>
          <w:sz w:val="24"/>
          <w:szCs w:val="24"/>
        </w:rPr>
        <w:t xml:space="preserve">[0073]式（4-5）中，Â_t为广义优势估计，ε为截断系数（本发明一个实施例中取0.2），clip函数将概率比限制在[1−ε, 1+ε]区间内，防止单步更新过大导致策略崩溃。引入拉格朗日乘子λ_L后，策略网络的实际优化目标如式（4-7）所示：</w:t>
      </w:r>
    </w:p>
    <w:p>
      <w:pPr>
        <w:tabs>
          <w:tab w:val="center" w:pos="4513"/>
          <w:tab w:val="right" w:pos="8826"/>
        </w:tabs>
        <w:spacing w:after="120" w:before="120" w:line="360"/>
        <w:jc w:val="left"/>
      </w:pPr>
      <m:oMath>
        <m:sSub>
          <m:sSubPr/>
          <m:e>
            <m:r>
              <m:t>max</m:t>
            </m:r>
          </m:e>
          <m:sub>
            <m:r>
              <m:t>θ</m:t>
            </m:r>
          </m:sub>
        </m:sSub>
        <m:r>
          <m:t>  </m:t>
        </m:r>
        <m:sSub>
          <m:sSubPr/>
          <m:e>
            <m:r>
              <m:t>E</m:t>
            </m:r>
          </m:e>
          <m:sub>
            <m:r>
              <m:t>t</m:t>
            </m:r>
          </m:sub>
        </m:sSub>
        <m:d>
          <m:dPr>
            <m:begChr m:val="["/>
            <m:endChr m:val="]"/>
          </m:dPr>
          <m:e>
            <m:sSup>
              <m:sSupPr/>
              <m:e>
                <m:r>
                  <m:t>L</m:t>
                </m:r>
              </m:e>
              <m:sup>
                <m:r>
                  <m:t>CLIP</m:t>
                </m:r>
              </m:sup>
            </m:sSup>
            <m:r>
              <m:t>(θ)</m:t>
            </m:r>
          </m:e>
        </m:d>
        <m:r>
          <m:t> − </m:t>
        </m:r>
        <m:sSub>
          <m:sSubPr/>
          <m:e>
            <m:r>
              <m:t>λ</m:t>
            </m:r>
          </m:e>
          <m:sub>
            <m:r>
              <m:t>L</m:t>
            </m:r>
          </m:sub>
        </m:sSub>
        <m:r>
          <m:t> ⋅ </m:t>
        </m:r>
        <m:sSub>
          <m:sSubPr/>
          <m:e>
            <m:r>
              <m:t>J</m:t>
            </m:r>
          </m:e>
          <m:sub>
            <m:r>
              <m:t>C</m:t>
            </m:r>
          </m:sub>
        </m:sSub>
        <m:r>
          <m:t>(θ)</m:t>
        </m:r>
      </m:oMath>
      <w:r>
        <w:t xml:space="preserve">	（4-7）</w:t>
      </w:r>
    </w:p>
    <w:p>
      <w:pPr>
        <w:spacing w:after="0" w:before="0" w:line="360"/>
        <w:ind w:firstLine="480"/>
      </w:pPr>
      <w:r>
        <w:rPr>
          <w:sz w:val="24"/>
          <w:szCs w:val="24"/>
        </w:rPr>
        <w:t xml:space="preserve">[0074]乘子λ_L通过对偶梯度上升自适应更新：当实际代价超过预算时增大λ_L以加强安全惩罚，代价低于预算时适度放松，如式（4-8）所示：</w:t>
      </w:r>
    </w:p>
    <w:p>
      <w:pPr>
        <w:tabs>
          <w:tab w:val="center" w:pos="4513"/>
          <w:tab w:val="right" w:pos="8826"/>
        </w:tabs>
        <w:spacing w:after="120" w:before="120" w:line="360"/>
        <w:jc w:val="left"/>
      </w:pPr>
      <m:oMath>
        <m:sSubSup>
          <m:sSubSupPr/>
          <m:e>
            <m:r>
              <m:t>λ</m:t>
            </m:r>
          </m:e>
          <m:sub>
            <m:r>
              <m:t>L</m:t>
            </m:r>
          </m:sub>
          <m:sup>
            <m:r>
              <m:t>(k+1)</m:t>
            </m:r>
          </m:sup>
        </m:sSubSup>
        <m:r>
          <m:t> = max ( 0, </m:t>
        </m:r>
        <m:sSubSup>
          <m:sSubSupPr/>
          <m:e>
            <m:r>
              <m:t>λ</m:t>
            </m:r>
          </m:e>
          <m:sub>
            <m:r>
              <m:t>L</m:t>
            </m:r>
          </m:sub>
          <m:sup>
            <m:r>
              <m:t>(k)</m:t>
            </m:r>
          </m:sup>
        </m:sSubSup>
        <m:r>
          <m:t> + </m:t>
        </m:r>
        <m:sSub>
          <m:sSubPr/>
          <m:e>
            <m:r>
              <m:t>η</m:t>
            </m:r>
          </m:e>
          <m:sub>
            <m:r>
              <m:t>λ</m:t>
            </m:r>
          </m:sub>
        </m:sSub>
        <m:r>
          <m:t> ⋅ ( </m:t>
        </m:r>
        <m:sSub>
          <m:sSubPr/>
          <m:e>
            <m:r>
              <m:t>J</m:t>
            </m:r>
          </m:e>
          <m:sub>
            <m:r>
              <m:t>C</m:t>
            </m:r>
          </m:sub>
        </m:sSub>
        <m:r>
          <m:t>(θ) − d ) )</m:t>
        </m:r>
      </m:oMath>
      <w:r>
        <w:t xml:space="preserve">	（4-8）</w:t>
      </w:r>
    </w:p>
    <w:p>
      <w:pPr>
        <w:spacing w:after="0" w:before="0" w:line="360"/>
        <w:ind w:firstLine="480"/>
      </w:pPr>
      <w:r>
        <w:rPr>
          <w:sz w:val="24"/>
          <w:szCs w:val="24"/>
        </w:rPr>
        <w:t xml:space="preserve">[0075]式（4-8）中，η_λ为对偶学习率。该机制使策略在正常状态下自由探索最优干预组合，而在接近安全边界时自动收敛到保守动作，实现“效率—安全”的自适应权衡。</w:t>
      </w:r>
    </w:p>
    <w:p>
      <w:pPr>
        <w:spacing w:after="0" w:before="0" w:line="360"/>
        <w:ind w:firstLine="480"/>
      </w:pPr>
      <w:r>
        <w:rPr>
          <w:sz w:val="24"/>
          <w:szCs w:val="24"/>
        </w:rPr>
        <w:t xml:space="preserve">[0076]步骤S44，高应激状态的实时监测与柔性熔断。在数字化心理干预过程中，必须考虑参与者可能因特定色彩、图案或记忆线索引发创伤后应激反应或急性焦虑。为此，数据处理模块定义实时熔断机制：系统对Index_cps设定临界警戒线Index_critical（本发明一个实施例中取20分），并对核心生理信号执行指数加权移动平均（EWMA）异常检测。设信号序列为x_t，EWMA统计量如式（4-9）所示：</w:t>
      </w:r>
    </w:p>
    <w:p>
      <w:pPr>
        <w:tabs>
          <w:tab w:val="center" w:pos="4513"/>
          <w:tab w:val="right" w:pos="8826"/>
        </w:tabs>
        <w:spacing w:after="120" w:before="120" w:line="360"/>
        <w:jc w:val="left"/>
      </w:pPr>
      <m:oMath>
        <m:sSub>
          <m:sSubPr/>
          <m:e>
            <m:r>
              <m:t>z</m:t>
            </m:r>
          </m:e>
          <m:sub>
            <m:r>
              <m:t>t</m:t>
            </m:r>
          </m:sub>
        </m:sSub>
        <m:r>
          <m:t> = ρ ⋅ </m:t>
        </m:r>
        <m:sSub>
          <m:sSubPr/>
          <m:e>
            <m:r>
              <m:t>z</m:t>
            </m:r>
          </m:e>
          <m:sub>
            <m:r>
              <m:t>t − 1</m:t>
            </m:r>
          </m:sub>
        </m:sSub>
        <m:r>
          <m:t> + (1 − ρ) ⋅ </m:t>
        </m:r>
        <m:sSub>
          <m:sSubPr/>
          <m:e>
            <m:r>
              <m:t>x</m:t>
            </m:r>
          </m:e>
          <m:sub>
            <m:r>
              <m:t>t</m:t>
            </m:r>
          </m:sub>
        </m:sSub>
      </m:oMath>
      <w:r>
        <w:t xml:space="preserve">	（4-9）</w:t>
      </w:r>
    </w:p>
    <w:p>
      <w:pPr>
        <w:spacing w:after="0" w:before="0" w:line="360"/>
        <w:ind w:firstLine="480"/>
      </w:pPr>
      <w:r>
        <w:rPr>
          <w:sz w:val="24"/>
          <w:szCs w:val="24"/>
        </w:rPr>
        <w:t xml:space="preserve">[0077]式（4-9）中，ρ为平滑系数（本发明一个实施例中取0.3）。当系统在连续的t_alert时间窗口（本发明一个实施例中取30秒）内同时监测到：综合状态指数的窗口均值跌破临界警戒线、瞳孔相对变化幅度Rc出现陡增、眼动数据呈现无规则极速扫视（即注视时间比率R_f锐减），即满足熔断触发条件，如式（4-10）所示：</w:t>
      </w:r>
    </w:p>
    <w:p>
      <w:pPr>
        <w:tabs>
          <w:tab w:val="center" w:pos="4513"/>
          <w:tab w:val="right" w:pos="8826"/>
        </w:tabs>
        <w:spacing w:after="120" w:before="120" w:line="360"/>
        <w:jc w:val="left"/>
      </w:pPr>
      <m:oMath>
        <m:d>
          <m:dPr>
            <m:begChr m:val="["/>
            <m:endChr m:val="]"/>
          </m:dPr>
          <m:e>
            <m:r>
              <m:t>1</m:t>
            </m:r>
          </m:e>
        </m:d>
        <m:r>
          <m:t> / </m:t>
        </m:r>
        <m:d>
          <m:dPr>
            <m:begChr m:val="["/>
            <m:endChr m:val="]"/>
          </m:dPr>
          <m:e>
            <m:sSub>
              <m:sSubPr/>
              <m:e>
                <m:r>
                  <m:t>t</m:t>
                </m:r>
              </m:e>
              <m:sub>
                <m:r>
                  <m:t>alert</m:t>
                </m:r>
              </m:sub>
            </m:sSub>
          </m:e>
        </m:d>
        <m:r>
          <m:t>  </m:t>
        </m:r>
        <m:nary>
          <m:naryPr>
            <m:limLoc m:val="subSup"/>
          </m:naryPr>
          <m:sub>
            <m:r>
              <m:t>t − </m:t>
            </m:r>
            <m:sSub>
              <m:sSubPr/>
              <m:e>
                <m:r>
                  <m:t>t</m:t>
                </m:r>
              </m:e>
              <m:sub>
                <m:r>
                  <m:t>alert</m:t>
                </m:r>
              </m:sub>
            </m:sSub>
          </m:sub>
          <m:sup>
            <m:r>
              <m:t>t</m:t>
            </m:r>
          </m:sup>
          <m:e>
            <m:r>
              <m:t> </m:t>
            </m:r>
            <m:sSub>
              <m:sSubPr/>
              <m:e>
                <m:r>
                  <m:t>Index</m:t>
                </m:r>
              </m:e>
              <m:sub>
                <m:r>
                  <m:t>cps</m:t>
                </m:r>
              </m:sub>
            </m:sSub>
            <m:r>
              <m:t>(τ) dτ </m:t>
            </m:r>
          </m:e>
        </m:nary>
        <m:r>
          <m:t> &lt; </m:t>
        </m:r>
        <m:sSub>
          <m:sSubPr/>
          <m:e>
            <m:r>
              <m:t>Index</m:t>
            </m:r>
          </m:e>
          <m:sub>
            <m:r>
              <m:t>critical</m:t>
            </m:r>
          </m:sub>
        </m:sSub>
        <m:r>
          <m:t>  且  ΔRc &gt; </m:t>
        </m:r>
        <m:sSub>
          <m:sSubPr/>
          <m:e>
            <m:r>
              <m:t>τ</m:t>
            </m:r>
          </m:e>
          <m:sub>
            <m:r>
              <m:t>Rc</m:t>
            </m:r>
          </m:sub>
        </m:sSub>
        <m:r>
          <m:t>  且  ΔRf &lt; −</m:t>
        </m:r>
        <m:sSub>
          <m:sSubPr/>
          <m:e>
            <m:r>
              <m:t>τ</m:t>
            </m:r>
          </m:e>
          <m:sub>
            <m:r>
              <m:t>Rf</m:t>
            </m:r>
          </m:sub>
        </m:sSub>
      </m:oMath>
      <w:r>
        <w:t xml:space="preserve">	（4-10）</w:t>
      </w:r>
    </w:p>
    <w:p>
      <w:pPr>
        <w:spacing w:after="0" w:before="0" w:line="360"/>
        <w:ind w:firstLine="480"/>
      </w:pPr>
      <w:r>
        <w:rPr>
          <w:sz w:val="24"/>
          <w:szCs w:val="24"/>
        </w:rPr>
        <w:t xml:space="preserve">[0078]式（4-10）中，τ_Rc与τ_Rf分别为瞳孔变化增幅与注视比率降幅的预设阈值。三个条件构成“与”逻辑，避免单一传感器噪声导致的误触发。</w:t>
      </w:r>
    </w:p>
    <w:p>
      <w:pPr>
        <w:spacing w:after="0" w:before="0" w:line="360"/>
        <w:ind w:firstLine="480"/>
      </w:pPr>
      <w:r>
        <w:rPr>
          <w:sz w:val="24"/>
          <w:szCs w:val="24"/>
        </w:rPr>
        <w:t xml:space="preserve">[0079]步骤S45，认知负荷降级与纯受容模式介入。熔断触发后，系统立即执行两级降级：第一级为认知负荷降级（Cognitive Load Downgrade），强制挂起色彩疗愈模块，中止要求参与者主动选择和输出的高认知负荷任务（上色、绘画、决策）；第二级为纯受容模式（Pure Receptive Mode）介入，虚拟环境瞬间褪去所有复杂环境隐喻与强烈色彩刺激，界面过渡为极简低饱和度米白色空间，正念引导模块越权接管，调用步骤S17中生成的参与者熟悉音色播放紧急舒缓语料（如“请闭上眼睛，感受你的脚底接触地面的力量”），同时启动低频双耳节拍，通过听觉诱导脑电向Alpha波（8至14Hz）或Theta波（4至8Hz）频段同步。双耳节拍的拍频设计如式（4-11）所示：</w:t>
      </w:r>
    </w:p>
    <w:p>
      <w:pPr>
        <w:tabs>
          <w:tab w:val="center" w:pos="4513"/>
          <w:tab w:val="right" w:pos="8826"/>
        </w:tabs>
        <w:spacing w:after="120" w:before="120" w:line="360"/>
        <w:jc w:val="left"/>
      </w:pPr>
      <m:oMath>
        <m:sSub>
          <m:sSubPr/>
          <m:e>
            <m:r>
              <m:t>f</m:t>
            </m:r>
          </m:e>
          <m:sub>
            <m:r>
              <m:t>beat</m:t>
            </m:r>
          </m:sub>
        </m:sSub>
        <m:r>
          <m:t> = ∣ </m:t>
        </m:r>
        <m:sSub>
          <m:sSubPr/>
          <m:e>
            <m:r>
              <m:t>f</m:t>
            </m:r>
          </m:e>
          <m:sub>
            <m:r>
              <m:t>L</m:t>
            </m:r>
          </m:sub>
        </m:sSub>
        <m:r>
          <m:t> − </m:t>
        </m:r>
        <m:sSub>
          <m:sSubPr/>
          <m:e>
            <m:r>
              <m:t>f</m:t>
            </m:r>
          </m:e>
          <m:sub>
            <m:r>
              <m:t>R</m:t>
            </m:r>
          </m:sub>
        </m:sSub>
        <m:r>
          <m:t> ∣</m:t>
        </m:r>
        <m:r>
          <m:t>，  </m:t>
        </m:r>
        <m:sSub>
          <m:sSubPr/>
          <m:e>
            <m:r>
              <m:t>f</m:t>
            </m:r>
          </m:e>
          <m:sub>
            <m:r>
              <m:t>beat</m:t>
            </m:r>
          </m:sub>
        </m:sSub>
        <m:r>
          <m:t> ∈ [4, 14] Hz</m:t>
        </m:r>
      </m:oMath>
      <w:r>
        <w:t xml:space="preserve">	（4-11）</w:t>
      </w:r>
    </w:p>
    <w:p>
      <w:pPr>
        <w:spacing w:after="0" w:before="0" w:line="360"/>
        <w:ind w:firstLine="480"/>
      </w:pPr>
      <w:r>
        <w:rPr>
          <w:sz w:val="24"/>
          <w:szCs w:val="24"/>
        </w:rPr>
        <w:t xml:space="preserve">[0080]式（4-11）中，f_L与f_R分别为左右耳载波频率。纯受容模式持续运行直至EWMA统计量回升至警戒线以上并稳定保持预设时长，系统方按“呼吸引导—环境隐喻—色彩疗愈”的顺序逐级恢复干预，恢复过程中动作空间被约束为低强度子集，形成安全的退出斜坡。</w:t>
      </w:r>
    </w:p>
    <w:p>
      <w:pPr>
        <w:spacing w:after="0" w:before="0" w:line="360"/>
        <w:ind w:firstLine="480"/>
      </w:pPr>
      <w:r>
        <w:rPr>
          <w:sz w:val="24"/>
          <w:szCs w:val="24"/>
        </w:rPr>
        <w:t xml:space="preserve">[0081]步骤S46，端云协同的计算架构与多模态同步。高沉浸感的核心前提是低延迟的视听触反馈。由于多模态数据包含高频眼动视频流、音频流与密集生理信号，若全部依赖云端处理，网络抖动将导致画面与动作脱节，极易引发晕动症并破坏疗愈氛围。为此，系统采用端云协同架构：数据接收模块与数据处理模块部署于头戴式设备的片上系统芯片（SoC）中，利用设备内置的神经网络处理单元（NPU）进行边缘计算，全部第一手传感数据在本地完成特征提取、Index_cps实时解算、XGBoost分级推理与三维环境即时渲染；时间戳对齐算法确保眼动焦点坐标变化与画面光影渲染在20毫秒的刷新周期内严格同步，同步误差约束如式（4-12）所示：</w:t>
      </w:r>
    </w:p>
    <w:p>
      <w:pPr>
        <w:tabs>
          <w:tab w:val="center" w:pos="4513"/>
          <w:tab w:val="right" w:pos="8826"/>
        </w:tabs>
        <w:spacing w:after="120" w:before="120" w:line="360"/>
        <w:jc w:val="left"/>
      </w:pPr>
      <m:oMath>
        <m:r>
          <m:t>∣ </m:t>
        </m:r>
        <m:sSub>
          <m:sSubPr/>
          <m:e>
            <m:r>
              <m:t>t</m:t>
            </m:r>
          </m:e>
          <m:sub>
            <m:r>
              <m:t>render</m:t>
            </m:r>
          </m:sub>
        </m:sSub>
        <m:r>
          <m:t> − </m:t>
        </m:r>
        <m:sSub>
          <m:sSubPr/>
          <m:e>
            <m:r>
              <m:t>t</m:t>
            </m:r>
          </m:e>
          <m:sub>
            <m:r>
              <m:t>sense</m:t>
            </m:r>
          </m:sub>
        </m:sSub>
        <m:r>
          <m:t> ∣ ≤ </m:t>
        </m:r>
        <m:sSub>
          <m:sSubPr/>
          <m:e>
            <m:r>
              <m:t>T</m:t>
            </m:r>
          </m:e>
          <m:sub>
            <m:r>
              <m:t>sync</m:t>
            </m:r>
          </m:sub>
        </m:sSub>
        <m:r>
          <m:t> = 20 ms</m:t>
        </m:r>
      </m:oMath>
      <w:r>
        <w:t xml:space="preserve">	（4-12）</w:t>
      </w:r>
    </w:p>
    <w:p>
      <w:pPr>
        <w:spacing w:after="0" w:before="0" w:line="360"/>
        <w:ind w:firstLine="480"/>
      </w:pPr>
      <w:r>
        <w:rPr>
          <w:sz w:val="24"/>
          <w:szCs w:val="24"/>
        </w:rPr>
        <w:t xml:space="preserve">[0082]仅有非实时强相关任务——即步骤S36中对最终曼陀罗画作的全局语义解析与大语言模型深度文本评估——被打包加密传输至云端异步处理；云端处理完成后将评估报告与长期疗愈建议下发至本地，参与下一轮会话的策略初始化。该架构在保证20毫秒级沉浸同步的同时，规避了生理隐私数据的全量上云。</w:t>
      </w:r>
    </w:p>
    <w:p>
      <w:pPr>
        <w:spacing w:after="120" w:before="240" w:line="360"/>
      </w:pPr>
      <w:r>
        <w:rPr>
          <w:b/>
          <w:bCs/>
          <w:sz w:val="24"/>
          <w:szCs w:val="24"/>
        </w:rPr>
        <w:t xml:space="preserve">步骤S5，效果反馈评估与深度耦合闭环。</w:t>
      </w:r>
    </w:p>
    <w:p>
      <w:pPr>
        <w:spacing w:after="0" w:before="0" w:line="360"/>
        <w:ind w:firstLine="480"/>
      </w:pPr>
      <w:r>
        <w:rPr>
          <w:sz w:val="24"/>
          <w:szCs w:val="24"/>
        </w:rPr>
        <w:t xml:space="preserve">[0083]单次疗愈会话结束后，系统进入效果反馈评估环节，将本轮干预的实际效果回传至状态评估与决策调度环节，完成参与者画像的在线更新，使系统具备跨会话的持续个体化适配能力。</w:t>
      </w:r>
    </w:p>
    <w:p>
      <w:pPr>
        <w:spacing w:after="0" w:before="0" w:line="360"/>
        <w:ind w:firstLine="480"/>
      </w:pPr>
      <w:r>
        <w:rPr>
          <w:sz w:val="24"/>
          <w:szCs w:val="24"/>
        </w:rPr>
        <w:t xml:space="preserve">[0084]步骤S51，干预效果的多指标差值演算。系统对会话前后两次施测的量表得分与生理指标统一取“后测减前测”的差值向量作为效果度量，如式（5-1）所示：</w:t>
      </w:r>
    </w:p>
    <w:p>
      <w:pPr>
        <w:tabs>
          <w:tab w:val="center" w:pos="4513"/>
          <w:tab w:val="right" w:pos="8826"/>
        </w:tabs>
        <w:spacing w:after="120" w:before="120" w:line="360"/>
        <w:jc w:val="left"/>
      </w:pPr>
      <m:oMath>
        <m:r>
          <m:t>Δ = </m:t>
        </m:r>
        <m:d>
          <m:dPr>
            <m:begChr m:val="["/>
            <m:endChr m:val="]"/>
          </m:dPr>
          <m:e>
            <m:r>
              <m:t>Δ</m:t>
            </m:r>
            <m:sSub>
              <m:sSubPr/>
              <m:e>
                <m:r>
                  <m:t>s</m:t>
                </m:r>
              </m:e>
              <m:sub>
                <m:r>
                  <m:t>scale</m:t>
                </m:r>
              </m:sub>
            </m:sSub>
            <m:r>
              <m:t>, Δ</m:t>
            </m:r>
            <m:sSub>
              <m:sSubPr/>
              <m:e>
                <m:r>
                  <m:t>T</m:t>
                </m:r>
              </m:e>
              <m:sub>
                <m:r>
                  <m:t>f</m:t>
                </m:r>
              </m:sub>
            </m:sSub>
            <m:r>
              <m:t>, Δ</m:t>
            </m:r>
            <m:sSub>
              <m:sSubPr/>
              <m:e>
                <m:r>
                  <m:t>R</m:t>
                </m:r>
              </m:e>
              <m:sub>
                <m:r>
                  <m:t>f</m:t>
                </m:r>
              </m:sub>
            </m:sSub>
            <m:r>
              <m:t>, ΔRc, ΔSDNN</m:t>
            </m:r>
          </m:e>
        </m:d>
        <m:r>
          <m:t>，  Δ</m:t>
        </m:r>
        <m:sSub>
          <m:sSubPr/>
          <m:e>
            <m:r>
              <m:t>x</m:t>
            </m:r>
          </m:e>
          <m:sub>
            <m:r>
              <m:t>k</m:t>
            </m:r>
          </m:sub>
        </m:sSub>
        <m:r>
          <m:t> = </m:t>
        </m:r>
        <m:sSubSup>
          <m:sSubSupPr/>
          <m:e>
            <m:r>
              <m:t>x</m:t>
            </m:r>
          </m:e>
          <m:sub>
            <m:r>
              <m:t>k</m:t>
            </m:r>
          </m:sub>
          <m:sup>
            <m:r>
              <m:t>(post)</m:t>
            </m:r>
          </m:sup>
        </m:sSubSup>
        <m:r>
          <m:t> − </m:t>
        </m:r>
        <m:sSubSup>
          <m:sSubSupPr/>
          <m:e>
            <m:r>
              <m:t>x</m:t>
            </m:r>
          </m:e>
          <m:sub>
            <m:r>
              <m:t>k</m:t>
            </m:r>
          </m:sub>
          <m:sup>
            <m:r>
              <m:t>(pre)</m:t>
            </m:r>
          </m:sup>
        </m:sSubSup>
      </m:oMath>
      <w:r>
        <w:t xml:space="preserve">	（5-1）</w:t>
      </w:r>
    </w:p>
    <w:p>
      <w:pPr>
        <w:spacing w:after="0" w:before="0" w:line="360"/>
        <w:ind w:firstLine="480"/>
      </w:pPr>
      <w:r>
        <w:rPr>
          <w:sz w:val="24"/>
          <w:szCs w:val="24"/>
        </w:rPr>
        <w:t xml:space="preserve">[0085]式（5-1）中，Δs_scale为情绪量表评分差值（取值为负表示情绪改善），ΔT_f、ΔR_f为注视时长与注视比率差值（取值为正表示注意投入增强），ΔRc为瞳孔变化幅度差值（取值为负表示生理唤醒下降），ΔSDNN为心率变异性差值（取值为正表示副交感神经活动增强）。五指标方向互校，任一指标的异常背离都将触发数据质量复核。</w:t>
      </w:r>
    </w:p>
    <w:p>
      <w:pPr>
        <w:spacing w:after="0" w:before="0" w:line="360"/>
        <w:ind w:firstLine="480"/>
      </w:pPr>
      <w:r>
        <w:rPr>
          <w:sz w:val="24"/>
          <w:szCs w:val="24"/>
        </w:rPr>
        <w:t xml:space="preserve">[0086]步骤S52，参与者画像的在线贝叶斯更新。系统以在线变分推断方式更新参与者的心理状态画像：以前一轮画像的后验分布作为本轮先验，以本轮差值向量与LLM语义评估作为观测似然，通过最小化变分下界更新画像参数。设参与者画像潜变量为u，其变分下界如式（5-2）所示：</w:t>
      </w:r>
    </w:p>
    <w:p>
      <w:pPr>
        <w:tabs>
          <w:tab w:val="center" w:pos="4513"/>
          <w:tab w:val="right" w:pos="8826"/>
        </w:tabs>
        <w:spacing w:after="120" w:before="120" w:line="360"/>
        <w:jc w:val="left"/>
      </w:pPr>
      <m:oMath>
        <m:r>
          <m:t>ELBO(q) = </m:t>
        </m:r>
        <m:sSub>
          <m:sSubPr/>
          <m:e>
            <m:r>
              <m:t>E</m:t>
            </m:r>
          </m:e>
          <m:sub>
            <m:r>
              <m:t>q(u)</m:t>
            </m:r>
          </m:sub>
        </m:sSub>
        <m:d>
          <m:dPr>
            <m:begChr m:val="["/>
            <m:endChr m:val="]"/>
          </m:dPr>
          <m:e>
            <m:r>
              <m:t> log p(</m:t>
            </m:r>
            <m:sSub>
              <m:sSubPr/>
              <m:e>
                <m:r>
                  <m:t>D</m:t>
                </m:r>
              </m:e>
              <m:sub>
                <m:r>
                  <m:t>t</m:t>
                </m:r>
              </m:sub>
            </m:sSub>
            <m:r>
              <m:t> ∣ u) </m:t>
            </m:r>
          </m:e>
        </m:d>
        <m:r>
          <m:t> − KL ( q(u) , p(u) )</m:t>
        </m:r>
      </m:oMath>
      <w:r>
        <w:t xml:space="preserve">	（5-2）</w:t>
      </w:r>
    </w:p>
    <w:p>
      <w:pPr>
        <w:spacing w:after="0" w:before="0" w:line="360"/>
        <w:ind w:firstLine="480"/>
      </w:pPr>
      <w:r>
        <w:rPr>
          <w:sz w:val="24"/>
          <w:szCs w:val="24"/>
        </w:rPr>
        <w:t xml:space="preserve">[0087]式（5-2）中，q(u)为本轮会话后更新的变分后验分布q(u∣D_{1:t})，p(u)为上一轮会话的画像后验分布p(u∣D_{1:t-1})、在本轮中作为先验，D_{1:t}为截至第t轮会话的累计观测。为使近期干预数据的贡献高于远期数据，似然项中引入时间衰减因子，如式（5-3）所示：</w:t>
      </w:r>
    </w:p>
    <w:p>
      <w:pPr>
        <w:tabs>
          <w:tab w:val="center" w:pos="4513"/>
          <w:tab w:val="right" w:pos="8826"/>
        </w:tabs>
        <w:spacing w:after="120" w:before="120" w:line="360"/>
        <w:jc w:val="left"/>
      </w:pPr>
      <m:oMath>
        <m:r>
          <m:t>log p(</m:t>
        </m:r>
        <m:sSub>
          <m:sSubPr/>
          <m:e>
            <m:r>
              <m:t>D</m:t>
            </m:r>
          </m:e>
          <m:sub>
            <m:r>
              <m:t>1:t</m:t>
            </m:r>
          </m:sub>
        </m:sSub>
        <m:r>
          <m:t> ∣ u) = </m:t>
        </m:r>
        <m:sSubSup>
          <m:sSubSupPr/>
          <m:e>
            <m:r>
              <m:t>∑</m:t>
            </m:r>
          </m:e>
          <m:sub>
            <m:r>
              <m:t>k = 1</m:t>
            </m:r>
          </m:sub>
          <m:sup>
            <m:r>
              <m:t>t</m:t>
            </m:r>
          </m:sup>
        </m:sSubSup>
        <m:sSup>
          <m:sSupPr/>
          <m:e>
            <m:r>
              <m:t>κ</m:t>
            </m:r>
          </m:e>
          <m:sup>
            <m:r>
              <m:t>t − k</m:t>
            </m:r>
          </m:sup>
        </m:sSup>
        <m:r>
          <m:t> log p(</m:t>
        </m:r>
        <m:sSub>
          <m:sSubPr/>
          <m:e>
            <m:r>
              <m:t>D</m:t>
            </m:r>
          </m:e>
          <m:sub>
            <m:r>
              <m:t>k</m:t>
            </m:r>
          </m:sub>
        </m:sSub>
        <m:r>
          <m:t> ∣ u)</m:t>
        </m:r>
      </m:oMath>
      <w:r>
        <w:t xml:space="preserve">	（5-3）</w:t>
      </w:r>
    </w:p>
    <w:p>
      <w:pPr>
        <w:spacing w:after="0" w:before="0" w:line="360"/>
        <w:ind w:firstLine="480"/>
      </w:pPr>
      <w:r>
        <w:rPr>
          <w:sz w:val="24"/>
          <w:szCs w:val="24"/>
        </w:rPr>
        <w:t xml:space="preserve">[0088]式（5-3）中，κ为衰减系数（0&lt;κ&lt;1）。更新后的画像潜变量u经解码后输出参与者对各干预模块的响应敏感度向量，作为下一轮步骤S4中强化学习智能体的初始状态输入，使策略不必从零探索，而是在历史最优路径附近进行微调，逐步逼近个体化最优干预序列。</w:t>
      </w:r>
    </w:p>
    <w:p>
      <w:pPr>
        <w:spacing w:after="0" w:before="0" w:line="360"/>
        <w:ind w:firstLine="480"/>
      </w:pPr>
      <w:r>
        <w:rPr>
          <w:sz w:val="24"/>
          <w:szCs w:val="24"/>
        </w:rPr>
        <w:t xml:space="preserve">[0089]步骤S53，闭环收敛判据。系统以连续多轮会话的状态改善稳定性作为收敛判据：当参与者在最近M轮会话中的Index_cps会话均值满足式（5-4）时，判定当前干预路径已收敛至个体化稳定区间：</w:t>
      </w:r>
    </w:p>
    <w:p>
      <w:pPr>
        <w:tabs>
          <w:tab w:val="center" w:pos="4513"/>
          <w:tab w:val="right" w:pos="8826"/>
        </w:tabs>
        <w:spacing w:after="120" w:before="120" w:line="360"/>
        <w:jc w:val="left"/>
      </w:pPr>
      <m:oMath>
        <m:d>
          <m:dPr>
            <m:begChr m:val="["/>
            <m:endChr m:val="]"/>
          </m:dPr>
          <m:e>
            <m:r>
              <m:t>1</m:t>
            </m:r>
          </m:e>
        </m:d>
        <m:r>
          <m:t> / </m:t>
        </m:r>
        <m:d>
          <m:dPr>
            <m:begChr m:val="["/>
            <m:endChr m:val="]"/>
          </m:dPr>
          <m:e>
            <m:r>
              <m:t>M</m:t>
            </m:r>
          </m:e>
        </m:d>
        <m:sSubSup>
          <m:sSubSupPr/>
          <m:e>
            <m:r>
              <m:t>∑</m:t>
            </m:r>
          </m:e>
          <m:sub>
            <m:r>
              <m:t>k = 1</m:t>
            </m:r>
          </m:sub>
          <m:sup>
            <m:r>
              <m:t>M</m:t>
            </m:r>
          </m:sup>
        </m:sSubSup>
        <m:r>
          <m:t> ∣ </m:t>
        </m:r>
        <m:sSub>
          <m:sSubPr/>
          <m:e>
            <m:r>
              <m:t>Index</m:t>
            </m:r>
          </m:e>
          <m:sub>
            <m:r>
              <m:t>cps</m:t>
            </m:r>
          </m:sub>
        </m:sSub>
        <m:r>
          <m:t>(end, k)</m:t>
        </m:r>
        <m:r>
          <m:t> − </m:t>
        </m:r>
        <m:sSub>
          <m:sSubPr/>
          <m:e>
            <m:r>
              <m:t>Index</m:t>
            </m:r>
          </m:e>
          <m:sub>
            <m:r>
              <m:t>cps</m:t>
            </m:r>
          </m:sub>
        </m:sSub>
        <m:r>
          <m:t>(end, k−1)</m:t>
        </m:r>
        <m:r>
          <m:t> ∣ </m:t>
        </m:r>
        <m:r>
          <m:t> &lt; </m:t>
        </m:r>
        <m:sSub>
          <m:sSubPr/>
          <m:e>
            <m:r>
              <m:t>δ</m:t>
            </m:r>
          </m:e>
          <m:sub>
            <m:r>
              <m:t>conv</m:t>
            </m:r>
          </m:sub>
        </m:sSub>
      </m:oMath>
      <w:r>
        <w:t xml:space="preserve">	（5-4）</w:t>
      </w:r>
    </w:p>
    <w:p>
      <w:pPr>
        <w:spacing w:after="0" w:before="0" w:line="360"/>
        <w:ind w:firstLine="480"/>
      </w:pPr>
      <w:r>
        <w:rPr>
          <w:sz w:val="24"/>
          <w:szCs w:val="24"/>
        </w:rPr>
        <w:t xml:space="preserve">[0090]式（5-4）中，δ_conv为收敛阈值。收敛后系统降低主动干预频率、延长复测间隔；若后续会话中画像更新检测到状态漂移超出置信区间，则自动解除收敛状态并重新激活路径搜索。至此，数据采集、状态评估、正念艺术疗愈干预、决策调度与效果反馈五个环节首尾闭合：步骤S1的特征张量驱动步骤S2的分级，步骤S2的等级与归因驱动步骤S3的内容生成与步骤S4的策略选择，步骤S4的执行结果经步骤S5的差值演算与画像更新回流至步骤S2与步骤S4，形成跨会话持续演进的深度耦合闭环。</w:t>
      </w:r>
    </w:p>
    <w:p>
      <w:pPr>
        <w:spacing w:after="120" w:before="240" w:line="360"/>
      </w:pPr>
      <w:r>
        <w:rPr>
          <w:b/>
          <w:bCs/>
          <w:sz w:val="24"/>
          <w:szCs w:val="24"/>
        </w:rPr>
        <w:t xml:space="preserve">本发明系统实施例。</w:t>
      </w:r>
    </w:p>
    <w:p>
      <w:pPr>
        <w:spacing w:after="0" w:before="0" w:line="360"/>
        <w:ind w:firstLine="480"/>
      </w:pPr>
      <w:r>
        <w:rPr>
          <w:sz w:val="24"/>
          <w:szCs w:val="24"/>
        </w:rPr>
        <w:t xml:space="preserve">[0091]本发明还提供一种沉浸式的多模态交互与自适应调节心理状态系统，用于实现上述方法。在本发明的一个实施例中，该系统包括声音训练模块、数据接收模块、数据处理模块、正念引导模块、自我评估模块、色彩疗愈模块、色彩评估模块与决策调度模块，各模块之间通过数据流耦合形成闭环协同架构。</w:t>
      </w:r>
    </w:p>
    <w:p>
      <w:pPr>
        <w:spacing w:after="0" w:before="0" w:line="360"/>
        <w:ind w:firstLine="480"/>
      </w:pPr>
      <w:r>
        <w:rPr>
          <w:sz w:val="24"/>
          <w:szCs w:val="24"/>
        </w:rPr>
        <w:t xml:space="preserve">[0092]声音训练模块，用于在接受干预活动前适应不同人群对音色的敏感程度：参与者可选择默认语音音色，或接受采集自身声线，由VITS框架重构生成模拟参与者声线的正念引导语音，以克服标准化语言容易引发心理防御机制的缺陷。数据接收模块，用于实时接收参与者的多模态数据，其中生理数据包括眼动追踪数据与心率变异性数据，行为数据包括曼陀罗绘画中的配色分布、上色次数、修改次数与色彩分布位置。数据处理模块，用于汇总多模态数据并根据数据类型选择对应模型处理，执行时间戳对齐、去噪插补、归一化融合与综合状态指数解算，并承载实时熔断判定。正念引导模块，用于通过具有正念引导含义的文本辅助参与者进行呼吸训练，以节奏式呼吸平衡神经系统。自我评估模块，用于通过视听融合方式以不同情绪元素完成初步自我评估并适时给出反馈，反馈采用环境隐喻的即时响应机制，通过光影粒子与天气系统完成动态渲染。色彩疗愈模块，用于基于曼陀罗绘画原理进行图案选择与配色，根据实时Index_cps执行动态色彩推荐与负面环境衰减，是自适应调节的核心执行部分。色彩评估模块，用于通过视觉感知模型采集曼陀罗色彩分布与图案并经大语言模型解析提取关键词，输出量化评估得分并判断是否回调正念引导模块。决策调度模块，用于承载约束强化学习策略网络与柔性熔断逻辑，协调上述各模块的介入时机、强度与顺序。</w:t>
      </w:r>
    </w:p>
    <w:p>
      <w:pPr>
        <w:spacing w:after="0" w:before="0" w:line="360"/>
        <w:ind w:firstLine="480"/>
      </w:pPr>
      <w:r>
        <w:rPr>
          <w:sz w:val="24"/>
          <w:szCs w:val="24"/>
        </w:rPr>
        <w:t xml:space="preserve">[0093]上述系统的全部或部分模块可以采用软件、硬件或其组合实现：数据接收与数据处理模块部署于头戴式设备的SoC与NPU上执行边缘计算，色彩评估模块中的大语言模型推理解析部署于云端异步执行，其余模块按实时性要求在端侧与云侧分布部署。本领域技术人员可以理解，上述模块的划分仅为逻辑功能划分，实际实现时可进行合并或拆分，凡在本发明精神和原则之内所作的等同替换与改进，均应包含在本发明的保护范围之内。</w:t>
      </w:r>
    </w:p>
    <w:p>
      <w:pPr>
        <w:spacing w:after="120" w:before="240" w:line="360"/>
      </w:pPr>
      <w:r>
        <w:rPr>
          <w:b/>
          <w:bCs/>
          <w:sz w:val="24"/>
          <w:szCs w:val="24"/>
        </w:rPr>
        <w:t xml:space="preserve">实验效果验证。</w:t>
      </w:r>
    </w:p>
    <w:p>
      <w:pPr>
        <w:spacing w:after="0" w:before="0" w:line="360"/>
        <w:ind w:firstLine="480"/>
      </w:pPr>
      <w:r>
        <w:rPr>
          <w:sz w:val="24"/>
          <w:szCs w:val="24"/>
        </w:rPr>
        <w:t xml:space="preserve">[0094]为验证本发明所述方法的实际疗愈效果与关键设计选择的技术贡献，发明人依托本发明所述系统的原型平台开展了六个交互功能测评实验。实验招募26名经初筛问卷识别为存在情绪困扰的青少年被试，年龄介于14岁至18岁之间，平均年龄16.50岁、标准差1.30岁，其中男性14人、女性12人；学段分布为初中15人、大学一年级10人、小学1人；全部被试身体健康状况良好，无干扰眼动与心率测量的躯体疾病。</w:t>
      </w:r>
    </w:p>
    <w:p>
      <w:pPr>
        <w:spacing w:after="0" w:before="0" w:line="360"/>
        <w:ind w:firstLine="480"/>
      </w:pPr>
      <w:r>
        <w:rPr>
          <w:sz w:val="24"/>
          <w:szCs w:val="24"/>
        </w:rPr>
        <w:t xml:space="preserve">[0095]六个实验依次考察不同交互功能的疗愈效果，每个实验均在电脑端与VR端两种使用环境下各实施一遍，26名被试完整经历所在实验的全部条件组合，无中途退出与数据缺失。每个实验在疗愈干预前后各采集一次数据，观测指标共五项：情绪量表评分、注视时长、注视比率、瞳孔变化幅度与心率变异性（SDNN），各指标一律取后测值减前测值的差值作为分析对象，变量定义如表1所示。</w:t>
      </w:r>
    </w:p>
    <w:p>
      <w:pPr>
        <w:spacing w:after="80" w:before="160" w:line="360"/>
        <w:jc w:val="center"/>
      </w:pPr>
      <w:r>
        <w:rPr>
          <w:b/>
          <w:bCs/>
          <w:sz w:val="21"/>
          <w:szCs w:val="21"/>
        </w:rPr>
        <w:t xml:space="preserve">表1　实验观测变量定义与计算方式</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40" w:line="300"/>
              <w:jc w:val="center"/>
            </w:pPr>
            <w:r>
              <w:rPr>
                <w:b/>
                <w:bCs/>
                <w:sz w:val="21"/>
                <w:szCs w:val="21"/>
              </w:rPr>
              <w:t xml:space="preserve">变量名称</w:t>
            </w:r>
          </w:p>
        </w:tc>
        <w:tc>
          <w:tcPr>
            <w:tcBorders>
              <w:top w:val="none" w:color="FFFFFF" w:sz="0"/>
              <w:left w:val="none" w:color="FFFFFF" w:sz="0"/>
              <w:bottom w:val="single" w:color="000000" w:sz="6"/>
              <w:right w:val="none" w:color="FFFFFF" w:sz="0"/>
            </w:tcBorders>
            <w:vAlign w:val="center"/>
          </w:tcPr>
          <w:p>
            <w:pPr>
              <w:spacing w:after="40" w:before="40" w:line="300"/>
              <w:jc w:val="center"/>
            </w:pPr>
            <w:r>
              <w:rPr>
                <w:b/>
                <w:bCs/>
                <w:sz w:val="21"/>
                <w:szCs w:val="21"/>
              </w:rPr>
              <w:t xml:space="preserve">符号</w:t>
            </w:r>
          </w:p>
        </w:tc>
        <w:tc>
          <w:tcPr>
            <w:tcBorders>
              <w:top w:val="none" w:color="FFFFFF" w:sz="0"/>
              <w:left w:val="none" w:color="FFFFFF" w:sz="0"/>
              <w:bottom w:val="single" w:color="000000" w:sz="6"/>
              <w:right w:val="none" w:color="FFFFFF" w:sz="0"/>
            </w:tcBorders>
            <w:vAlign w:val="center"/>
          </w:tcPr>
          <w:p>
            <w:pPr>
              <w:spacing w:after="40" w:before="40" w:line="300"/>
              <w:jc w:val="center"/>
            </w:pPr>
            <w:r>
              <w:rPr>
                <w:b/>
                <w:bCs/>
                <w:sz w:val="21"/>
                <w:szCs w:val="21"/>
              </w:rPr>
              <w:t xml:space="preserve">定义与计算方式</w:t>
            </w:r>
          </w:p>
        </w:tc>
        <w:tc>
          <w:tcPr>
            <w:tcBorders>
              <w:top w:val="none" w:color="FFFFFF" w:sz="0"/>
              <w:left w:val="none" w:color="FFFFFF" w:sz="0"/>
              <w:bottom w:val="single" w:color="000000" w:sz="6"/>
              <w:right w:val="none" w:color="FFFFFF" w:sz="0"/>
            </w:tcBorders>
            <w:vAlign w:val="center"/>
          </w:tcPr>
          <w:p>
            <w:pPr>
              <w:spacing w:after="40" w:before="40" w:line="300"/>
              <w:jc w:val="center"/>
            </w:pPr>
            <w:r>
              <w:rPr>
                <w:b/>
                <w:bCs/>
                <w:sz w:val="21"/>
                <w:szCs w:val="21"/>
              </w:rPr>
              <w:t xml:space="preserve">改善方向</w:t>
            </w:r>
          </w:p>
        </w:tc>
      </w:tr>
      <w:tr>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情绪量表评分差值</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d_sc</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疗愈后量表得分减疗愈前得分，单位：分</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取值为负</w:t>
            </w:r>
          </w:p>
        </w:tc>
      </w:tr>
      <w:tr>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注视时长差值</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d_fd</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疗愈后注视时长减疗愈前，单位：秒</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取值为正</w:t>
            </w:r>
          </w:p>
        </w:tc>
      </w:tr>
      <w:tr>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注视比率差值</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d_fr</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疗愈后注视比率减疗愈前，单位：百分点</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取值为正</w:t>
            </w:r>
          </w:p>
        </w:tc>
      </w:tr>
      <w:tr>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瞳孔变化幅度差值</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d_pd</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疗愈后瞳孔变化幅度减疗愈前，单位：毫米</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取值为负</w:t>
            </w:r>
          </w:p>
        </w:tc>
      </w:tr>
      <w:tr>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心率变异性差值</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d_hv</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疗愈后SDNN减疗愈前SDNN，单位：毫秒</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取值为正</w:t>
            </w:r>
          </w:p>
        </w:tc>
      </w:tr>
    </w:tbl>
    <w:p>
      <w:pPr>
        <w:spacing w:after="120" w:before="60" w:line="320"/>
      </w:pPr>
      <w:r>
        <w:rPr>
          <w:sz w:val="18"/>
          <w:szCs w:val="18"/>
        </w:rPr>
        <w:t xml:space="preserve">注：情绪量表评分与瞳孔变化幅度以数值下降代表疗愈效果，其余三项以数值上升代表疗愈效果。</w:t>
      </w:r>
    </w:p>
    <w:p>
      <w:pPr>
        <w:spacing w:after="0" w:before="0" w:line="360"/>
        <w:ind w:firstLine="480"/>
      </w:pPr>
      <w:r>
        <w:rPr>
          <w:sz w:val="24"/>
          <w:szCs w:val="24"/>
        </w:rPr>
        <w:t xml:space="preserve">[0096]统计方法上，首先对全部160个“条件×指标”组合执行夏皮洛-威尔克正态性检验，其中106项显著性小于0.05、占66.2%，过半数条件不满足正态假设；加之样本量为26人的小样本特征，分析以威尔科克森符号秩检验与弗里德曼检验为核心，效应量r由检验统计量Z的绝对值除以样本量平方根得到，0.1、0.3、0.5依次对应小、中、大效应，并以双因素重复测量方差分析作为方法对照。</w:t>
      </w:r>
    </w:p>
    <w:p>
      <w:pPr>
        <w:spacing w:after="0" w:before="0" w:line="360"/>
        <w:ind w:firstLine="480"/>
      </w:pPr>
      <w:r>
        <w:rPr>
          <w:sz w:val="24"/>
          <w:szCs w:val="24"/>
        </w:rPr>
        <w:t xml:space="preserve">[0097]实验一专门验证本发明步骤S17所述个性化语音重构的技术效果：功能A对应VITS重构的AI个性化语音方案，功能B对应系统官方标准语音方案。结果表明，功能A在五项指标上全部显著优于功能B（功能比较效应量r介于0.846至0.888之间，均为大效应）；其中VR端功能A条件下，情绪量表评分中位数下降12分、心率变异性中位数提升8毫秒、注视比率中位数提升19.25个百分点，而电脑端功能A条件下量表评分中位数仅下降5分、SDNN仅提升2毫秒。这一结果直接支持了“基于参与者自身声纹特征的听觉反馈能够增强安全感与干预依从性”的设计论断，也印证了本发明将个性化语音重构置于干预流程前端的必要性。</w:t>
      </w:r>
    </w:p>
    <w:p>
      <w:pPr>
        <w:spacing w:after="0" w:before="0" w:line="360"/>
        <w:ind w:firstLine="480"/>
      </w:pPr>
      <w:r>
        <w:rPr>
          <w:sz w:val="24"/>
          <w:szCs w:val="24"/>
        </w:rPr>
        <w:t xml:space="preserve">[0098]六个实验的横向汇总结果如表2所示。就使用环境而言，30个“实验×指标”组合的环境比较中29个达到显著，唯一例外为实验一的注视时长（Z=−1.343，p=0.179）；更为关键的是，30个组合的较优环境无一例外全部指向VR端，未出现任何一项指标在任何实验中电脑端反超的情况，且多数比较的效应量r超过0.85。就交互功能而言，功能比较在全部30个组合上显著；实验一指向功能A（AI个性化语音），实验二至实验六一致指向各自的功能B（沉浸式多模态交互功能），功能优势在VR端被显著放大、在电脑端被压缩——实验二与实验四中，电脑端功能两两比较无一达到校正后显著性水平，而VR端功能B与其余功能的差异在五项指标上全部达标。</w:t>
      </w:r>
    </w:p>
    <w:p>
      <w:pPr>
        <w:spacing w:after="80" w:before="160" w:line="360"/>
        <w:jc w:val="center"/>
      </w:pPr>
      <w:r>
        <w:rPr>
          <w:b/>
          <w:bCs/>
          <w:sz w:val="21"/>
          <w:szCs w:val="21"/>
        </w:rPr>
        <w:t xml:space="preserve">表2　六个实验三类效应的秩检验汇总</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gridCol w:w="100"/>
      </w:tblGrid>
      <w:tr>
        <w:trPr>
          <w:tblHeader/>
        </w:trPr>
        <w:tc>
          <w:tcPr>
            <w:tcBorders>
              <w:top w:val="none" w:color="FFFFFF" w:sz="0"/>
              <w:left w:val="none" w:color="FFFFFF" w:sz="0"/>
              <w:bottom w:val="single" w:color="000000" w:sz="6"/>
              <w:right w:val="none" w:color="FFFFFF" w:sz="0"/>
            </w:tcBorders>
            <w:vAlign w:val="center"/>
          </w:tcPr>
          <w:p>
            <w:pPr>
              <w:spacing w:after="40" w:before="40" w:line="300"/>
              <w:jc w:val="center"/>
            </w:pPr>
            <w:r>
              <w:rPr>
                <w:b/>
                <w:bCs/>
                <w:sz w:val="21"/>
                <w:szCs w:val="21"/>
              </w:rPr>
              <w:t xml:space="preserve">实验</w:t>
            </w:r>
          </w:p>
        </w:tc>
        <w:tc>
          <w:tcPr>
            <w:tcBorders>
              <w:top w:val="none" w:color="FFFFFF" w:sz="0"/>
              <w:left w:val="none" w:color="FFFFFF" w:sz="0"/>
              <w:bottom w:val="single" w:color="000000" w:sz="6"/>
              <w:right w:val="none" w:color="FFFFFF" w:sz="0"/>
            </w:tcBorders>
            <w:vAlign w:val="center"/>
          </w:tcPr>
          <w:p>
            <w:pPr>
              <w:spacing w:after="40" w:before="40" w:line="300"/>
              <w:jc w:val="center"/>
            </w:pPr>
            <w:r>
              <w:rPr>
                <w:b/>
                <w:bCs/>
                <w:sz w:val="21"/>
                <w:szCs w:val="21"/>
              </w:rPr>
              <w:t xml:space="preserve">较优环境</w:t>
            </w:r>
          </w:p>
        </w:tc>
        <w:tc>
          <w:tcPr>
            <w:tcBorders>
              <w:top w:val="none" w:color="FFFFFF" w:sz="0"/>
              <w:left w:val="none" w:color="FFFFFF" w:sz="0"/>
              <w:bottom w:val="single" w:color="000000" w:sz="6"/>
              <w:right w:val="none" w:color="FFFFFF" w:sz="0"/>
            </w:tcBorders>
            <w:vAlign w:val="center"/>
          </w:tcPr>
          <w:p>
            <w:pPr>
              <w:spacing w:after="40" w:before="40" w:line="300"/>
              <w:jc w:val="center"/>
            </w:pPr>
            <w:r>
              <w:rPr>
                <w:b/>
                <w:bCs/>
                <w:sz w:val="21"/>
                <w:szCs w:val="21"/>
              </w:rPr>
              <w:t xml:space="preserve">环境比较显著指标数</w:t>
            </w:r>
          </w:p>
        </w:tc>
        <w:tc>
          <w:tcPr>
            <w:tcBorders>
              <w:top w:val="none" w:color="FFFFFF" w:sz="0"/>
              <w:left w:val="none" w:color="FFFFFF" w:sz="0"/>
              <w:bottom w:val="single" w:color="000000" w:sz="6"/>
              <w:right w:val="none" w:color="FFFFFF" w:sz="0"/>
            </w:tcBorders>
            <w:vAlign w:val="center"/>
          </w:tcPr>
          <w:p>
            <w:pPr>
              <w:spacing w:after="40" w:before="40" w:line="300"/>
              <w:jc w:val="center"/>
            </w:pPr>
            <w:r>
              <w:rPr>
                <w:b/>
                <w:bCs/>
                <w:sz w:val="21"/>
                <w:szCs w:val="21"/>
              </w:rPr>
              <w:t xml:space="preserve">较优功能</w:t>
            </w:r>
          </w:p>
        </w:tc>
        <w:tc>
          <w:tcPr>
            <w:tcBorders>
              <w:top w:val="none" w:color="FFFFFF" w:sz="0"/>
              <w:left w:val="none" w:color="FFFFFF" w:sz="0"/>
              <w:bottom w:val="single" w:color="000000" w:sz="6"/>
              <w:right w:val="none" w:color="FFFFFF" w:sz="0"/>
            </w:tcBorders>
            <w:vAlign w:val="center"/>
          </w:tcPr>
          <w:p>
            <w:pPr>
              <w:spacing w:after="40" w:before="40" w:line="300"/>
              <w:jc w:val="center"/>
            </w:pPr>
            <w:r>
              <w:rPr>
                <w:b/>
                <w:bCs/>
                <w:sz w:val="21"/>
                <w:szCs w:val="21"/>
              </w:rPr>
              <w:t xml:space="preserve">功能比较</w:t>
            </w:r>
          </w:p>
        </w:tc>
        <w:tc>
          <w:tcPr>
            <w:tcBorders>
              <w:top w:val="none" w:color="FFFFFF" w:sz="0"/>
              <w:left w:val="none" w:color="FFFFFF" w:sz="0"/>
              <w:bottom w:val="single" w:color="000000" w:sz="6"/>
              <w:right w:val="none" w:color="FFFFFF" w:sz="0"/>
            </w:tcBorders>
            <w:vAlign w:val="center"/>
          </w:tcPr>
          <w:p>
            <w:pPr>
              <w:spacing w:after="40" w:before="40" w:line="300"/>
              <w:jc w:val="center"/>
            </w:pPr>
            <w:r>
              <w:rPr>
                <w:b/>
                <w:bCs/>
                <w:sz w:val="21"/>
                <w:szCs w:val="21"/>
              </w:rPr>
              <w:t xml:space="preserve">交互作用显著指标数</w:t>
            </w:r>
          </w:p>
        </w:tc>
      </w:tr>
      <w:tr>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实验一</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VR端</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4/5</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功能A（AI语音）</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5/5显著</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2/5</w:t>
            </w:r>
          </w:p>
        </w:tc>
      </w:tr>
      <w:tr>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实验二</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VR端</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功能B</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5/5显著</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w:t>
            </w:r>
          </w:p>
        </w:tc>
      </w:tr>
      <w:tr>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实验三</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VR端</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功能B</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5/5显著</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w:t>
            </w:r>
          </w:p>
        </w:tc>
      </w:tr>
      <w:tr>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实验四</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VR端</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功能B</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5/5显著</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w:t>
            </w:r>
          </w:p>
        </w:tc>
      </w:tr>
      <w:tr>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实验五</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VR端</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功能B</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5/5显著</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w:t>
            </w:r>
          </w:p>
        </w:tc>
      </w:tr>
      <w:tr>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实验六</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VR端</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功能B</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5/5显著</w:t>
            </w:r>
          </w:p>
        </w:tc>
        <w:tc>
          <w:tcPr>
            <w:tcBorders>
              <w:top w:val="none" w:color="FFFFFF" w:sz="0"/>
              <w:left w:val="none" w:color="FFFFFF" w:sz="0"/>
              <w:bottom w:val="none" w:color="FFFFFF" w:sz="0"/>
              <w:right w:val="none" w:color="FFFFFF" w:sz="0"/>
            </w:tcBorders>
            <w:vAlign w:val="center"/>
          </w:tcPr>
          <w:p>
            <w:pPr>
              <w:spacing w:after="40" w:before="40" w:line="300"/>
              <w:jc w:val="center"/>
            </w:pPr>
            <w:r>
              <w:rPr>
                <w:b w:val="false"/>
                <w:bCs w:val="false"/>
                <w:sz w:val="21"/>
                <w:szCs w:val="21"/>
              </w:rPr>
              <w:t xml:space="preserve">5/5</w:t>
            </w:r>
          </w:p>
        </w:tc>
      </w:tr>
    </w:tbl>
    <w:p>
      <w:pPr>
        <w:spacing w:after="120" w:before="60" w:line="320"/>
      </w:pPr>
      <w:r>
        <w:rPr>
          <w:sz w:val="18"/>
          <w:szCs w:val="18"/>
        </w:rPr>
        <w:t xml:space="preserve">注：环境比较与两功能实验的功能比较采用威尔科克森符号秩检验，四功能实验（实验二、四）的功能比较采用弗里德曼检验；显著性水平取0.05，多重比较按邦弗伦尼法校正。全部条件下疗愈前后的符号秩检验均显著，五项指标改善方向彼此一致。</w:t>
      </w:r>
    </w:p>
    <w:p>
      <w:pPr>
        <w:spacing w:after="0" w:before="0" w:line="360"/>
        <w:ind w:firstLine="480"/>
      </w:pPr>
      <w:r>
        <w:rPr>
          <w:sz w:val="24"/>
          <w:szCs w:val="24"/>
        </w:rPr>
        <w:t xml:space="preserve">[0099]此外，参数方法（双因素重复测量方差分析）给出的显著性判断与秩检验完全一致，30个组合中没有一项发生翻转，说明上述结论不因统计方法选择而改变。上述实验结果从三个层面支撑了本发明的技术方案：其一，全部实验条件下疗愈前后差异均显著且五项指标方向一致，证明“数据采集—状态评估—正念艺术疗愈—反馈评估”闭环干预本身具有稳定的情绪调节效果；其二，VR沉浸式环境相对电脑端的跨实验、跨指标一致性优势，验证了本发明以头戴式虚拟现实设备为载体、以20毫秒级多模态同步营造在场感的技术路线；其三，AI个性化语音对官方标准语音的全面胜出，为步骤S17的VITS声纹重构设计提供了直接的实证依据。需要说明的是，上述实验为小样本青少年群体研究，相关结论向其他年龄段推广时仍需扩大样本进一步验证，但五项主客观指标互校、非参数与参数方法互证的结果格局已充分表明本发明所述方法具备良好的可重复性与临床应用前景。</w:t>
      </w:r>
    </w:p>
    <w:p>
      <w:pPr>
        <w:spacing w:after="0" w:before="0" w:line="360"/>
        <w:ind w:firstLine="480"/>
      </w:pPr>
      <w:r>
        <w:rPr>
          <w:sz w:val="24"/>
          <w:szCs w:val="24"/>
        </w:rPr>
        <w:t xml:space="preserve">[0100]以上所述仅为本发明的较佳实施例而已，并不用以限制本发明，凡在本发明的精神和原则之内所作的任何修改、等同替换和改进等，均应包含在本发明的保护范围之内。</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2026-08-29T13:16:46.834Z</dcterms:created>
  <dcterms:modified xsi:type="dcterms:W3CDTF">2026-08-29T13:16:46.836Z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7641871463217103139-data_volume/files/所有对话/主对话/patent/专利具体实施方式.docx","ReservedCode1":"","ContentPropagator":"001191110102MACQD9K64028705","PropagateID":"810771980487180#1788010048937","ReservedCode2":""}</vt:lpwstr>
  </property>
</Properties>
</file>