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 w:eastAsia="Microsoft YaHei"/>
          <w:b/>
          <w:color w:val="135C6E"/>
          <w:sz w:val="54"/>
        </w:rPr>
        <w:t>ENT 结构化知识点整理</w:t>
      </w:r>
    </w:p>
    <w:p>
      <w:pPr>
        <w:jc w:val="center"/>
      </w:pPr>
      <w:r>
        <w:rPr>
          <w:rFonts w:ascii="Arial" w:hAnsi="Arial" w:eastAsia="Microsoft YaHei"/>
          <w:color w:val="5C6370"/>
          <w:sz w:val="26"/>
        </w:rPr>
        <w:t>重构版：去噪、合并、按项目执行逻辑组织</w:t>
      </w:r>
    </w:p>
    <w:p>
      <w:pPr>
        <w:spacing w:before="240"/>
        <w:jc w:val="center"/>
      </w:pPr>
      <w:r>
        <w:rPr>
          <w:rFonts w:ascii="Arial" w:hAnsi="Arial" w:eastAsia="Microsoft YaHei"/>
          <w:color w:val="23272F"/>
          <w:sz w:val="19"/>
        </w:rPr>
        <w:t>覆盖 Week 2–8 Lecture / Activity / Worksheet / Artefact / SPSS Lab / Data Sources / Video Instructions</w:t>
      </w:r>
    </w:p>
    <w:p>
      <w:pPr>
        <w:spacing w:before="560"/>
      </w:pPr>
      <w:r>
        <w:rPr>
          <w:rFonts w:ascii="Arial" w:hAnsi="Arial" w:eastAsia="Microsoft YaHei"/>
          <w:b/>
          <w:color w:val="135C6E"/>
          <w:sz w:val="22"/>
        </w:rPr>
        <w:t>这版如何判断“有效内容”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保留：课程核心概念、分析框架、操作流程、项目交付要求、可复用模板、关键案例和判断标准。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合并：重复页眉页脚、重复封面/thank you 页、相同 Week 6 data sources 文件、同一概念在 lecture 与 worksheet 中的重复表达。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删除：浏览器地址栏、网页菜单/按钮、无教学意义截图文字、孤立页码、装饰图片、随机 OCR 碎片。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重排：从“原文件顺序”改为“项目完成顺序”，让文档可以直接用于复习和小组项目执行。</w:t>
      </w:r>
    </w:p>
    <w:p>
      <w:pPr>
        <w:sectPr>
          <w:footerReference w:type="default" r:id="rId9"/>
          <w:pgSz w:w="12240" w:h="15840"/>
          <w:pgMar w:top="907" w:right="907" w:bottom="794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Microsoft YaHei"/>
        </w:rPr>
        <w:t>一页总览：战略情报项目的完整链路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确定战略问题：先问“需要做什么决策”，再决定收集什么数据。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定义行业与竞争边界：明确行业、直接竞争者、战略群组和潜在替代方案。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扫描宏观环境：用 PESTEL 找到政治、经济、社会、技术、环境、法律层面的外部变化。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区分趋势与热潮：用持续性、结构性影响、跨行业影响和数据支持判断一个现象是否值得进入战略分析。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5. </w:t>
      </w:r>
      <w:r>
        <w:rPr>
          <w:rFonts w:ascii="Arial" w:hAnsi="Arial" w:eastAsia="Microsoft YaHei"/>
          <w:color w:val="23272F"/>
          <w:sz w:val="18"/>
        </w:rPr>
        <w:t>制定数据计划：把未知信息转成变量、指标、问题和数据来源。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6. </w:t>
      </w:r>
      <w:r>
        <w:rPr>
          <w:rFonts w:ascii="Arial" w:hAnsi="Arial" w:eastAsia="Microsoft YaHei"/>
          <w:color w:val="23272F"/>
          <w:sz w:val="18"/>
        </w:rPr>
        <w:t>先用定性理解原因：访谈、观察和二手资料用于发现动机、痛点、障碍和真实语境。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7. </w:t>
      </w:r>
      <w:r>
        <w:rPr>
          <w:rFonts w:ascii="Arial" w:hAnsi="Arial" w:eastAsia="Microsoft YaHei"/>
          <w:color w:val="23272F"/>
          <w:sz w:val="18"/>
        </w:rPr>
        <w:t>再用定量验证范围：问卷、抽样、统计分析用于测试假设、衡量强度和支持结论。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8. </w:t>
      </w:r>
      <w:r>
        <w:rPr>
          <w:rFonts w:ascii="Arial" w:hAnsi="Arial" w:eastAsia="Microsoft YaHei"/>
          <w:color w:val="23272F"/>
          <w:sz w:val="18"/>
        </w:rPr>
        <w:t>整合证据形成建议：把定性解释和定量结果连接起来，输出可执行的战略选择。</w:t>
      </w:r>
    </w:p>
    <w:p>
      <w:pPr>
        <w:spacing w:before="100" w:after="40"/>
      </w:pPr>
      <w:r>
        <w:rPr>
          <w:rFonts w:ascii="Arial" w:hAnsi="Arial" w:eastAsia="Microsoft YaHei"/>
          <w:b/>
          <w:color w:val="2D7D5C"/>
          <w:sz w:val="20"/>
        </w:rPr>
        <w:t>一句话原则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不要为了“资料多”而收集资料；只有能减少决策不确定性的证据，才是有用的战略情报。</w:t>
      </w:r>
    </w:p>
    <w:p>
      <w:pPr>
        <w:pStyle w:val="Heading1"/>
      </w:pPr>
      <w:r>
        <w:rPr>
          <w:rFonts w:ascii="Arial" w:hAnsi="Arial" w:eastAsia="Microsoft YaHei"/>
        </w:rPr>
        <w:t>Week 2 · Strategic Intelligence 与证据型决策</w:t>
      </w:r>
    </w:p>
    <w:p>
      <w:pPr>
        <w:pStyle w:val="Heading2"/>
      </w:pPr>
      <w:r>
        <w:rPr>
          <w:rFonts w:ascii="Arial" w:hAnsi="Arial" w:eastAsia="Microsoft YaHei"/>
        </w:rPr>
        <w:t>核心概念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Strategic Intelligence: </w:t>
      </w:r>
      <w:r>
        <w:rPr>
          <w:rFonts w:ascii="Arial" w:hAnsi="Arial" w:eastAsia="Microsoft YaHei"/>
          <w:color w:val="23272F"/>
          <w:sz w:val="18"/>
        </w:rPr>
        <w:t>结构化地收集、分析并应用信息和证据，用来支持战略决策。它不是“知道很多信息”，而是理解信息对战略选择意味着什么。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三个关键过程: </w:t>
      </w:r>
      <w:r>
        <w:rPr>
          <w:rFonts w:ascii="Arial" w:hAnsi="Arial" w:eastAsia="Microsoft YaHei"/>
          <w:color w:val="23272F"/>
          <w:sz w:val="18"/>
        </w:rPr>
        <w:t>Gather information → Analyze patterns/trends/implications → Interpret findings for decisions。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Foresight: </w:t>
      </w:r>
      <w:r>
        <w:rPr>
          <w:rFonts w:ascii="Arial" w:hAnsi="Arial" w:eastAsia="Microsoft YaHei"/>
          <w:color w:val="23272F"/>
          <w:sz w:val="18"/>
        </w:rPr>
        <w:t>在市场、技术、消费者和政策快速变化时，组织需要预判变化，而不是等问题发生后被动反应。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Evidence-Based Decision-Making: </w:t>
      </w:r>
      <w:r>
        <w:rPr>
          <w:rFonts w:ascii="Arial" w:hAnsi="Arial" w:eastAsia="Microsoft YaHei"/>
          <w:color w:val="23272F"/>
          <w:sz w:val="18"/>
        </w:rPr>
        <w:t>用最佳可得证据、研究、组织经验和利益相关者洞察支持决策，而不是只依赖直觉或未经验证的假设。</w:t>
      </w:r>
    </w:p>
    <w:p>
      <w:pPr>
        <w:pStyle w:val="Heading2"/>
      </w:pPr>
      <w:r>
        <w:rPr>
          <w:rFonts w:ascii="Arial" w:hAnsi="Arial" w:eastAsia="Microsoft YaHei"/>
        </w:rPr>
        <w:t>为什么重要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提前识别趋势与行业转向，例如消费者行为、技术、监管和产业结构的变化。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支持投资、市场进入、新产品发布和并购等高资源承诺决策。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降低战略风险，提前发现网络安全、供应链、财务暴露和竞争威胁。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帮助组织应对地缘政治和监管变化，包括贸易政策、冲突、法规改革和政府政策。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5. </w:t>
      </w:r>
      <w:r>
        <w:rPr>
          <w:rFonts w:ascii="Arial" w:hAnsi="Arial" w:eastAsia="Microsoft YaHei"/>
          <w:color w:val="23272F"/>
          <w:sz w:val="18"/>
        </w:rPr>
        <w:t>识别创新机会，尤其在 AI、生物技术、可再生能源等快速演进行业。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6. </w:t>
      </w:r>
      <w:r>
        <w:rPr>
          <w:rFonts w:ascii="Arial" w:hAnsi="Arial" w:eastAsia="Microsoft YaHei"/>
          <w:color w:val="23272F"/>
          <w:sz w:val="18"/>
        </w:rPr>
        <w:t>将 ESG 变化纳入战略判断，理解环境、社会、治理因素如何改变市场预期和投资者行为。</w:t>
      </w:r>
    </w:p>
    <w:p>
      <w:pPr>
        <w:pStyle w:val="Heading2"/>
      </w:pPr>
      <w:r>
        <w:rPr>
          <w:rFonts w:ascii="Arial" w:hAnsi="Arial" w:eastAsia="Microsoft YaHei"/>
        </w:rPr>
        <w:t>反面案例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Kodak: </w:t>
      </w:r>
      <w:r>
        <w:rPr>
          <w:rFonts w:ascii="Arial" w:hAnsi="Arial" w:eastAsia="Microsoft YaHei"/>
          <w:color w:val="23272F"/>
          <w:sz w:val="18"/>
        </w:rPr>
        <w:t>拥有数码相机早期技术信号，却误判胶片需求和数码摄影的结构性转向；结果胶片需求崩塌并于 2012 年申请破产保护。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Nokia: </w:t>
      </w:r>
      <w:r>
        <w:rPr>
          <w:rFonts w:ascii="Arial" w:hAnsi="Arial" w:eastAsia="Microsoft YaHei"/>
          <w:color w:val="23272F"/>
          <w:sz w:val="18"/>
        </w:rPr>
        <w:t>长期拥有硬件和市场份额优势，却未能及时理解竞争从硬件转向 iOS/Android 软件生态；2014 年移动业务出售给 Microsoft。</w:t>
      </w:r>
    </w:p>
    <w:p>
      <w:pPr>
        <w:pStyle w:val="Heading2"/>
      </w:pPr>
      <w:r>
        <w:rPr>
          <w:rFonts w:ascii="Arial" w:hAnsi="Arial" w:eastAsia="Microsoft YaHei"/>
        </w:rPr>
        <w:t>思维层级：从想法到决策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Assumption: </w:t>
      </w:r>
      <w:r>
        <w:rPr>
          <w:rFonts w:ascii="Arial" w:hAnsi="Arial" w:eastAsia="Microsoft YaHei"/>
          <w:color w:val="23272F"/>
          <w:sz w:val="18"/>
        </w:rPr>
        <w:t>未经验证但看似合理的判断，例如“Gen Z 更在乎可持续产品”。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Information: </w:t>
      </w:r>
      <w:r>
        <w:rPr>
          <w:rFonts w:ascii="Arial" w:hAnsi="Arial" w:eastAsia="Microsoft YaHei"/>
          <w:color w:val="23272F"/>
          <w:sz w:val="18"/>
        </w:rPr>
        <w:t>原始事实、数据或观察，能描述现象，但不一定经过验证。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Evidence: </w:t>
      </w:r>
      <w:r>
        <w:rPr>
          <w:rFonts w:ascii="Arial" w:hAnsi="Arial" w:eastAsia="Microsoft YaHei"/>
          <w:color w:val="23272F"/>
          <w:sz w:val="18"/>
        </w:rPr>
        <w:t>由可靠来源、清晰方法和可核查数据支持的信息。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Intelligence: </w:t>
      </w:r>
      <w:r>
        <w:rPr>
          <w:rFonts w:ascii="Arial" w:hAnsi="Arial" w:eastAsia="Microsoft YaHei"/>
          <w:color w:val="23272F"/>
          <w:sz w:val="18"/>
        </w:rPr>
        <w:t>对证据的解释和战略含义，例如“可持续性已成为 Gen Z 的基本期待，因此品牌还需要设计、创新或身份认同等差异化”。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Decision: </w:t>
      </w:r>
      <w:r>
        <w:rPr>
          <w:rFonts w:ascii="Arial" w:hAnsi="Arial" w:eastAsia="Microsoft YaHei"/>
          <w:color w:val="23272F"/>
          <w:sz w:val="18"/>
        </w:rPr>
        <w:t>基于 intelligence 选择行动，而不是停留在信息展示。</w:t>
      </w:r>
    </w:p>
    <w:p>
      <w:pPr>
        <w:pStyle w:val="Heading2"/>
      </w:pPr>
      <w:r>
        <w:rPr>
          <w:rFonts w:ascii="Arial" w:hAnsi="Arial" w:eastAsia="Microsoft YaHei"/>
        </w:rPr>
        <w:t>Strategic Intelligence Cycle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Planning and direction: 定义需要回答的战略问题。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Collection: 从可信来源收集相关信息和数据。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Processing: 清洗、组织并准备数据。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Analysis and production: 解释信息，发现模式、趋势和战略含义。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5. </w:t>
      </w:r>
      <w:r>
        <w:rPr>
          <w:rFonts w:ascii="Arial" w:hAnsi="Arial" w:eastAsia="Microsoft YaHei"/>
          <w:color w:val="23272F"/>
          <w:sz w:val="18"/>
        </w:rPr>
        <w:t>Dissemination: 把分析传递给决策者并支持行动。</w:t>
      </w:r>
    </w:p>
    <w:p>
      <w:pPr>
        <w:spacing w:before="100" w:after="40"/>
      </w:pPr>
      <w:r>
        <w:rPr>
          <w:rFonts w:ascii="Arial" w:hAnsi="Arial" w:eastAsia="Microsoft YaHei"/>
          <w:b/>
          <w:color w:val="2D7D5C"/>
          <w:sz w:val="20"/>
        </w:rPr>
        <w:t>项目应用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对自己的项目识别 assumptions、已有 evidence、intelligence gaps，并给出下一步证据收集建议。</w:t>
      </w:r>
    </w:p>
    <w:p>
      <w:pPr>
        <w:pStyle w:val="Heading1"/>
      </w:pPr>
      <w:r>
        <w:rPr>
          <w:rFonts w:ascii="Arial" w:hAnsi="Arial" w:eastAsia="Microsoft YaHei"/>
        </w:rPr>
        <w:t>Week 3 · 行业结构、竞争格局与竞争者分析</w:t>
      </w:r>
    </w:p>
    <w:p>
      <w:pPr>
        <w:pStyle w:val="Heading2"/>
      </w:pPr>
      <w:r>
        <w:rPr>
          <w:rFonts w:ascii="Arial" w:hAnsi="Arial" w:eastAsia="Microsoft YaHei"/>
        </w:rPr>
        <w:t>定义行业与竞争边界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Industry: </w:t>
      </w:r>
      <w:r>
        <w:rPr>
          <w:rFonts w:ascii="Arial" w:hAnsi="Arial" w:eastAsia="Microsoft YaHei"/>
          <w:color w:val="23272F"/>
          <w:sz w:val="18"/>
        </w:rPr>
        <w:t>主要业务活动相近、提供相似产品/服务或满足相似客户需求的一组公司。行业定义决定谁是竞争者、客户需求如何理解、盈利潜力如何评估。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GICS: </w:t>
      </w:r>
      <w:r>
        <w:rPr>
          <w:rFonts w:ascii="Arial" w:hAnsi="Arial" w:eastAsia="Microsoft YaHei"/>
          <w:color w:val="23272F"/>
          <w:sz w:val="18"/>
        </w:rPr>
        <w:t>Global Industry Classification Standard 可帮助判断公司主要处于什么业务类别。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Competitive Landscape: </w:t>
      </w:r>
      <w:r>
        <w:rPr>
          <w:rFonts w:ascii="Arial" w:hAnsi="Arial" w:eastAsia="Microsoft YaHei"/>
          <w:color w:val="23272F"/>
          <w:sz w:val="18"/>
        </w:rPr>
        <w:t>企业竞争的环境以及竞争如何随时间演化。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Hypercompetition: </w:t>
      </w:r>
      <w:r>
        <w:rPr>
          <w:rFonts w:ascii="Arial" w:hAnsi="Arial" w:eastAsia="Microsoft YaHei"/>
          <w:color w:val="23272F"/>
          <w:sz w:val="18"/>
        </w:rPr>
        <w:t>竞争过度激烈并造成不稳定，企业必须持续改变、回应和扰动现有格局。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驱动因素: </w:t>
      </w:r>
      <w:r>
        <w:rPr>
          <w:rFonts w:ascii="Arial" w:hAnsi="Arial" w:eastAsia="Microsoft YaHei"/>
          <w:color w:val="23272F"/>
          <w:sz w:val="18"/>
        </w:rPr>
        <w:t>全球化扩大竞争边界；快速技术扩散和 disruptive technologies 会削弱旧技术、商业模式和产业结构。</w:t>
      </w:r>
    </w:p>
    <w:p>
      <w:pPr>
        <w:pStyle w:val="Heading2"/>
      </w:pPr>
      <w:r>
        <w:rPr>
          <w:rFonts w:ascii="Arial" w:hAnsi="Arial" w:eastAsia="Microsoft YaHei"/>
        </w:rPr>
        <w:t>Porter Five Forces：逐项判断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Threat of New Entrants: </w:t>
      </w:r>
      <w:r>
        <w:rPr>
          <w:rFonts w:ascii="Arial" w:hAnsi="Arial" w:eastAsia="Microsoft YaHei"/>
          <w:color w:val="23272F"/>
          <w:sz w:val="18"/>
        </w:rPr>
        <w:t>进入越容易，竞争越强、利润越低；进入壁垒包括规模经济、差异化、资本要求、转换成本、渠道、政府政策；还要判断现有企业是否会价格战、营销反击或锁定供应商。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Bargaining Power of Suppliers: </w:t>
      </w:r>
      <w:r>
        <w:rPr>
          <w:rFonts w:ascii="Arial" w:hAnsi="Arial" w:eastAsia="Microsoft YaHei"/>
          <w:color w:val="23272F"/>
          <w:sz w:val="18"/>
        </w:rPr>
        <w:t>当供应商少、投入独特、买方不重要、转换成本高、投入关键或供应商可前向整合时，供应商权力更强。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Bargaining Power of Buyers: </w:t>
      </w:r>
      <w:r>
        <w:rPr>
          <w:rFonts w:ascii="Arial" w:hAnsi="Arial" w:eastAsia="Microsoft YaHei"/>
          <w:color w:val="23272F"/>
          <w:sz w:val="18"/>
        </w:rPr>
        <w:t>当买方采购量大、贡献大量收入、转换成本低、产品标准化时，买方能压低价格、要求更高质量和更多服务。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Threat of Substitutes: </w:t>
      </w:r>
      <w:r>
        <w:rPr>
          <w:rFonts w:ascii="Arial" w:hAnsi="Arial" w:eastAsia="Microsoft YaHei"/>
          <w:color w:val="23272F"/>
          <w:sz w:val="18"/>
        </w:rPr>
        <w:t>替代品来自行业外但满足同一需求；当转换成本低、性能相当或更好时，替代威胁强。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Rivalry Among Existing Firms: </w:t>
      </w:r>
      <w:r>
        <w:rPr>
          <w:rFonts w:ascii="Arial" w:hAnsi="Arial" w:eastAsia="Microsoft YaHei"/>
          <w:color w:val="23272F"/>
          <w:sz w:val="18"/>
        </w:rPr>
        <w:t>竞争者数量多且均衡、行业增长慢、差异化低、转换成本低、战略利益高时，竞争更激烈。</w:t>
      </w:r>
    </w:p>
    <w:p>
      <w:pPr>
        <w:pStyle w:val="Heading2"/>
      </w:pPr>
      <w:r>
        <w:rPr>
          <w:rFonts w:ascii="Arial" w:hAnsi="Arial" w:eastAsia="Microsoft YaHei"/>
        </w:rPr>
        <w:t>战略群组与直接竞争者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Strategic Group: </w:t>
      </w:r>
      <w:r>
        <w:rPr>
          <w:rFonts w:ascii="Arial" w:hAnsi="Arial" w:eastAsia="Microsoft YaHei"/>
          <w:color w:val="23272F"/>
          <w:sz w:val="18"/>
        </w:rPr>
        <w:t>同一行业内采用相似战略、强调相似战略维度的企业集合，例如价格、目标客群、产品特征、渠道、技术水平和品牌定位。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Intra-group Rivalry: </w:t>
      </w:r>
      <w:r>
        <w:rPr>
          <w:rFonts w:ascii="Arial" w:hAnsi="Arial" w:eastAsia="Microsoft YaHei"/>
          <w:color w:val="23272F"/>
          <w:sz w:val="18"/>
        </w:rPr>
        <w:t>同一战略群组内的企业策略更相似，竞争通常更强。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Inter-group Rivalry: </w:t>
      </w:r>
      <w:r>
        <w:rPr>
          <w:rFonts w:ascii="Arial" w:hAnsi="Arial" w:eastAsia="Microsoft YaHei"/>
          <w:color w:val="23272F"/>
          <w:sz w:val="18"/>
        </w:rPr>
        <w:t>不同战略群组间竞争较弱，除非策略逐渐接近。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Competitor Analysis: </w:t>
      </w:r>
      <w:r>
        <w:rPr>
          <w:rFonts w:ascii="Arial" w:hAnsi="Arial" w:eastAsia="Microsoft YaHei"/>
          <w:color w:val="23272F"/>
          <w:sz w:val="18"/>
        </w:rPr>
        <w:t>从战略群组进一步进入直接竞争者分析，用来理解竞争者行为、预测行动和响应、支持更好的战略选择。</w:t>
      </w:r>
    </w:p>
    <w:p>
      <w:pPr>
        <w:pStyle w:val="Heading2"/>
      </w:pPr>
      <w:r>
        <w:rPr>
          <w:rFonts w:ascii="Arial" w:hAnsi="Arial" w:eastAsia="Microsoft YaHei"/>
        </w:rPr>
        <w:t>竞争者分析四维度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Future Objectives: 竞争者想达成什么目标，什么在驱动它。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Current Strategy: 它现在如何竞争，正在采取什么行动。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Assumptions: 它对行业、市场和自身有什么默认判断。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Capabilities: 它的强项、弱项和真实执行能力是什么。</w:t>
      </w:r>
    </w:p>
    <w:p>
      <w:pPr>
        <w:spacing w:before="100" w:after="40"/>
      </w:pPr>
      <w:r>
        <w:rPr>
          <w:rFonts w:ascii="Arial" w:hAnsi="Arial" w:eastAsia="Microsoft YaHei"/>
          <w:b/>
          <w:color w:val="2D7D5C"/>
          <w:sz w:val="20"/>
        </w:rPr>
        <w:t>Week 3 Artefact 应答框架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判断自己的市场属于 perfect competition、monopolistic competition、oligopoly 或 monopoly，并用竞争者数量、差异化和进入壁垒作为证据。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给五力各自打 1–100 强度分，并写出证据；可选加入 complements。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说明潜在 disruption 如何改变行业结构，并给出建议。</w:t>
      </w:r>
    </w:p>
    <w:p>
      <w:pPr>
        <w:pStyle w:val="Heading1"/>
      </w:pPr>
      <w:r>
        <w:rPr>
          <w:rFonts w:ascii="Arial" w:hAnsi="Arial" w:eastAsia="Microsoft YaHei"/>
        </w:rPr>
        <w:t>Week 4 · 宏观环境、趋势与二手数据</w:t>
      </w:r>
    </w:p>
    <w:p>
      <w:pPr>
        <w:pStyle w:val="Heading2"/>
      </w:pPr>
      <w:r>
        <w:rPr>
          <w:rFonts w:ascii="Arial" w:hAnsi="Arial" w:eastAsia="Microsoft YaHei"/>
        </w:rPr>
        <w:t>Environmental Scanning 与 PESTEL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组织必须理解自己无法直接控制的外部力量，因为这些力量会塑造行业增长、消费者行为、技术采用、机会和风险。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Political: </w:t>
      </w:r>
      <w:r>
        <w:rPr>
          <w:rFonts w:ascii="Arial" w:hAnsi="Arial" w:eastAsia="Microsoft YaHei"/>
          <w:color w:val="23272F"/>
          <w:sz w:val="18"/>
        </w:rPr>
        <w:t>政府政策、补贴、贸易政策、监管方向；EV 例子：EV subsidies。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Economic: </w:t>
      </w:r>
      <w:r>
        <w:rPr>
          <w:rFonts w:ascii="Arial" w:hAnsi="Arial" w:eastAsia="Microsoft YaHei"/>
          <w:color w:val="23272F"/>
          <w:sz w:val="18"/>
        </w:rPr>
        <w:t>宏观经济、收入、成本、价格波动；EV 例子：oil price volatility。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Social: </w:t>
      </w:r>
      <w:r>
        <w:rPr>
          <w:rFonts w:ascii="Arial" w:hAnsi="Arial" w:eastAsia="Microsoft YaHei"/>
          <w:color w:val="23272F"/>
          <w:sz w:val="18"/>
        </w:rPr>
        <w:t>价值观、人口结构、生活方式、消费偏好；EV 例子：green consumerism。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Technological: </w:t>
      </w:r>
      <w:r>
        <w:rPr>
          <w:rFonts w:ascii="Arial" w:hAnsi="Arial" w:eastAsia="Microsoft YaHei"/>
          <w:color w:val="23272F"/>
          <w:sz w:val="18"/>
        </w:rPr>
        <w:t>技术突破、扩散速度、平台变化；EV 例子：battery innovation。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Environmental: </w:t>
      </w:r>
      <w:r>
        <w:rPr>
          <w:rFonts w:ascii="Arial" w:hAnsi="Arial" w:eastAsia="Microsoft YaHei"/>
          <w:color w:val="23272F"/>
          <w:sz w:val="18"/>
        </w:rPr>
        <w:t>环境压力、气候目标、可持续要求；EV 例子：net-zero targets。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Legal: </w:t>
      </w:r>
      <w:r>
        <w:rPr>
          <w:rFonts w:ascii="Arial" w:hAnsi="Arial" w:eastAsia="Microsoft YaHei"/>
          <w:color w:val="23272F"/>
          <w:sz w:val="18"/>
        </w:rPr>
        <w:t>法律标准、合规和行业准入；EV 例子：emission standards。</w:t>
      </w:r>
    </w:p>
    <w:p>
      <w:pPr>
        <w:pStyle w:val="Heading2"/>
      </w:pPr>
      <w:r>
        <w:rPr>
          <w:rFonts w:ascii="Arial" w:hAnsi="Arial" w:eastAsia="Microsoft YaHei"/>
        </w:rPr>
        <w:t>Trend vs Fad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Trend: </w:t>
      </w:r>
      <w:r>
        <w:rPr>
          <w:rFonts w:ascii="Arial" w:hAnsi="Arial" w:eastAsia="Microsoft YaHei"/>
          <w:color w:val="23272F"/>
          <w:sz w:val="18"/>
        </w:rPr>
        <w:t>长期方向性变化，持续存在、影响多个行业、由数据支持，并可能改变市场结构。例：电商、数字支付、老龄化、可持续意识。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Fad: </w:t>
      </w:r>
      <w:r>
        <w:rPr>
          <w:rFonts w:ascii="Arial" w:hAnsi="Arial" w:eastAsia="Microsoft YaHei"/>
          <w:color w:val="23272F"/>
          <w:sz w:val="18"/>
        </w:rPr>
        <w:t>短期流行，常由 FOMO、明星效应或资本热度推动，但缺少持续需求和结构性改变。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判断方法: </w:t>
      </w:r>
      <w:r>
        <w:rPr>
          <w:rFonts w:ascii="Arial" w:hAnsi="Arial" w:eastAsia="Microsoft YaHei"/>
          <w:color w:val="23272F"/>
          <w:sz w:val="18"/>
        </w:rPr>
        <w:t>看数据是否持续、是否跨行业影响、是否改变用户行为或成本结构、是否能被多个可信来源支持。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案例提醒: </w:t>
      </w:r>
      <w:r>
        <w:rPr>
          <w:rFonts w:ascii="Arial" w:hAnsi="Arial" w:eastAsia="Microsoft YaHei"/>
          <w:color w:val="23272F"/>
          <w:sz w:val="18"/>
        </w:rPr>
        <w:t>Clubhouse 和 Metaverse 的部分热度说明：高下载量、高估值或大公司追逐不等于长期趋势，需要看留存、实际使用和商业基础。</w:t>
      </w:r>
    </w:p>
    <w:p>
      <w:pPr>
        <w:pStyle w:val="Heading2"/>
      </w:pPr>
      <w:r>
        <w:rPr>
          <w:rFonts w:ascii="Arial" w:hAnsi="Arial" w:eastAsia="Microsoft YaHei"/>
        </w:rPr>
        <w:t>Secondary Data 的价值与限制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定义: </w:t>
      </w:r>
      <w:r>
        <w:rPr>
          <w:rFonts w:ascii="Arial" w:hAnsi="Arial" w:eastAsia="Microsoft YaHei"/>
          <w:color w:val="23272F"/>
          <w:sz w:val="18"/>
        </w:rPr>
        <w:t>由其他组织已经收集的数据，可用于分析行业、市场和趋势。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价值: </w:t>
      </w:r>
      <w:r>
        <w:rPr>
          <w:rFonts w:ascii="Arial" w:hAnsi="Arial" w:eastAsia="Microsoft YaHei"/>
          <w:color w:val="23272F"/>
          <w:sz w:val="18"/>
        </w:rPr>
        <w:t>获取快、覆盖广，适合宏观理解、行业趋势、竞争格局和政策变化。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限制: </w:t>
      </w:r>
      <w:r>
        <w:rPr>
          <w:rFonts w:ascii="Arial" w:hAnsi="Arial" w:eastAsia="Microsoft YaHei"/>
          <w:color w:val="23272F"/>
          <w:sz w:val="18"/>
        </w:rPr>
        <w:t>可能过时、不完全适配自己的战略问题、存在提供者偏见、不同报告方法不一致。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批判阅读: </w:t>
      </w:r>
      <w:r>
        <w:rPr>
          <w:rFonts w:ascii="Arial" w:hAnsi="Arial" w:eastAsia="Microsoft YaHei"/>
          <w:color w:val="23272F"/>
          <w:sz w:val="18"/>
        </w:rPr>
        <w:t>检查 who produced it、when collected、what assumptions are made、whether it matches other sources。</w:t>
      </w:r>
    </w:p>
    <w:p>
      <w:pPr>
        <w:spacing w:before="100" w:after="40"/>
      </w:pPr>
      <w:r>
        <w:rPr>
          <w:rFonts w:ascii="Arial" w:hAnsi="Arial" w:eastAsia="Microsoft YaHei"/>
          <w:b/>
          <w:color w:val="2D7D5C"/>
          <w:sz w:val="20"/>
        </w:rPr>
        <w:t>Week 4 Application 交付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为自己的项目填写 PESTEL，每个维度至少提供重要趋势。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每个趋势都要写来源、数据时间、隐含假设、是否与其他来源一致、可交叉验证的其他来源。</w:t>
      </w:r>
    </w:p>
    <w:p>
      <w:pPr>
        <w:pStyle w:val="Heading1"/>
      </w:pPr>
      <w:r>
        <w:rPr>
          <w:rFonts w:ascii="Arial" w:hAnsi="Arial" w:eastAsia="Microsoft YaHei"/>
        </w:rPr>
        <w:t>Week 5 · Data Collection Planning</w:t>
      </w:r>
    </w:p>
    <w:p>
      <w:pPr>
        <w:pStyle w:val="Heading2"/>
      </w:pPr>
      <w:r>
        <w:rPr>
          <w:rFonts w:ascii="Arial" w:hAnsi="Arial" w:eastAsia="Microsoft YaHei"/>
        </w:rPr>
        <w:t>核心原则：Strategic Question → Data → Insight → Decision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问题不在于数据太少，而是学生经常收集大量与决策无关的数据，却漏掉关键不确定性。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例如进入 EV 市场时，泛泛收集“EV trends”不够；若决策是选择 Tier 1 还是 Tier 3 城市，就要收集收入、充电基础设施和采用态度。</w:t>
      </w:r>
    </w:p>
    <w:p>
      <w:pPr>
        <w:pStyle w:val="Heading2"/>
      </w:pPr>
      <w:r>
        <w:rPr>
          <w:rFonts w:ascii="Arial" w:hAnsi="Arial" w:eastAsia="Microsoft YaHei"/>
        </w:rPr>
        <w:t>Primary Data vs Secondary Data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Primary Data: </w:t>
      </w:r>
      <w:r>
        <w:rPr>
          <w:rFonts w:ascii="Arial" w:hAnsi="Arial" w:eastAsia="Microsoft YaHei"/>
          <w:color w:val="23272F"/>
          <w:sz w:val="18"/>
        </w:rPr>
        <w:t>自己直接收集，如 survey、interview、observation、experiment；优点是贴合问题，缺点是耗时、成本高且需要设计能力。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Secondary Data: </w:t>
      </w:r>
      <w:r>
        <w:rPr>
          <w:rFonts w:ascii="Arial" w:hAnsi="Arial" w:eastAsia="Microsoft YaHei"/>
          <w:color w:val="23272F"/>
          <w:sz w:val="18"/>
        </w:rPr>
        <w:t>他人已收集，如行业报告、政府统计、市场研究、新闻和分析师报告；优点是快且能看大局，缺点是可能不适配或有偏见。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Best Practice: </w:t>
      </w:r>
      <w:r>
        <w:rPr>
          <w:rFonts w:ascii="Arial" w:hAnsi="Arial" w:eastAsia="Microsoft YaHei"/>
          <w:color w:val="23272F"/>
          <w:sz w:val="18"/>
        </w:rPr>
        <w:t>先用二手数据理解市场，再用一手数据回答自己的具体问题。</w:t>
      </w:r>
    </w:p>
    <w:p>
      <w:pPr>
        <w:pStyle w:val="Heading2"/>
      </w:pPr>
      <w:r>
        <w:rPr>
          <w:rFonts w:ascii="Arial" w:hAnsi="Arial" w:eastAsia="Microsoft YaHei"/>
        </w:rPr>
        <w:t>4-Step Planning Framework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What decision needs to be made? 例如是否发布产品、选择哪个 segment、定什么价格。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What information is missing? 例如客户需求、竞争者价格、市场需求。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What data is needed? 把信息需求转成可测数据，如 willing-to-buy percentage、acceptable price range、usage frequency。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How will it be collected? 态度用 survey，深层洞察用 interviews，行为用 observation，市场规模用 secondary reports。</w:t>
      </w:r>
    </w:p>
    <w:p>
      <w:pPr>
        <w:pStyle w:val="Heading2"/>
      </w:pPr>
      <w:r>
        <w:rPr>
          <w:rFonts w:ascii="Arial" w:hAnsi="Arial" w:eastAsia="Microsoft YaHei"/>
        </w:rPr>
        <w:t>Worksheet A：从项目想法到信息缺口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写项目标题/brief。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写当前想法或方向。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写下一步最重要的决策。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写已有 prior analysis 已经知道什么。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5. </w:t>
      </w:r>
      <w:r>
        <w:rPr>
          <w:rFonts w:ascii="Arial" w:hAnsi="Arial" w:eastAsia="Microsoft YaHei"/>
          <w:color w:val="23272F"/>
          <w:sz w:val="18"/>
        </w:rPr>
        <w:t>写仍然不知道什么。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6. </w:t>
      </w:r>
      <w:r>
        <w:rPr>
          <w:rFonts w:ascii="Arial" w:hAnsi="Arial" w:eastAsia="Microsoft YaHei"/>
          <w:color w:val="23272F"/>
          <w:sz w:val="18"/>
        </w:rPr>
        <w:t>列出需要证据支持的 variables。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7. </w:t>
      </w:r>
      <w:r>
        <w:rPr>
          <w:rFonts w:ascii="Arial" w:hAnsi="Arial" w:eastAsia="Microsoft YaHei"/>
          <w:color w:val="23272F"/>
          <w:sz w:val="18"/>
        </w:rPr>
        <w:t>选出优先级最高的 3 个变量并说明原因。</w:t>
      </w:r>
    </w:p>
    <w:p>
      <w:pPr>
        <w:pStyle w:val="Heading2"/>
      </w:pPr>
      <w:r>
        <w:rPr>
          <w:rFonts w:ascii="Arial" w:hAnsi="Arial" w:eastAsia="Microsoft YaHei"/>
        </w:rPr>
        <w:t>Worksheet B：Evidence Planning Grid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Variable: </w:t>
      </w:r>
      <w:r>
        <w:rPr>
          <w:rFonts w:ascii="Arial" w:hAnsi="Arial" w:eastAsia="Microsoft YaHei"/>
          <w:color w:val="23272F"/>
          <w:sz w:val="18"/>
        </w:rPr>
        <w:t>真正影响决策的广义因素。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Why it matters: </w:t>
      </w:r>
      <w:r>
        <w:rPr>
          <w:rFonts w:ascii="Arial" w:hAnsi="Arial" w:eastAsia="Microsoft YaHei"/>
          <w:color w:val="23272F"/>
          <w:sz w:val="18"/>
        </w:rPr>
        <w:t>解释它为什么影响战略选择。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Possible indicator: </w:t>
      </w:r>
      <w:r>
        <w:rPr>
          <w:rFonts w:ascii="Arial" w:hAnsi="Arial" w:eastAsia="Microsoft YaHei"/>
          <w:color w:val="23272F"/>
          <w:sz w:val="18"/>
        </w:rPr>
        <w:t>把变量拆成能观察或测量的信号。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Possible item / prompt: </w:t>
      </w:r>
      <w:r>
        <w:rPr>
          <w:rFonts w:ascii="Arial" w:hAnsi="Arial" w:eastAsia="Microsoft YaHei"/>
          <w:color w:val="23272F"/>
          <w:sz w:val="18"/>
        </w:rPr>
        <w:t>设计能收集证据的问题、陈述或观察点。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Best source of data: </w:t>
      </w:r>
      <w:r>
        <w:rPr>
          <w:rFonts w:ascii="Arial" w:hAnsi="Arial" w:eastAsia="Microsoft YaHei"/>
          <w:color w:val="23272F"/>
          <w:sz w:val="18"/>
        </w:rPr>
        <w:t>说明数据来自消费者、用户、二手报告、竞品信息、社交媒体、专家等。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Later method fit: </w:t>
      </w:r>
      <w:r>
        <w:rPr>
          <w:rFonts w:ascii="Arial" w:hAnsi="Arial" w:eastAsia="Microsoft YaHei"/>
          <w:color w:val="23272F"/>
          <w:sz w:val="18"/>
        </w:rPr>
        <w:t>判断更适合 qualitative、quantitative，还是 both。</w:t>
      </w:r>
    </w:p>
    <w:p>
      <w:pPr>
        <w:pStyle w:val="Heading2"/>
      </w:pPr>
      <w:r>
        <w:rPr>
          <w:rFonts w:ascii="Arial" w:hAnsi="Arial" w:eastAsia="Microsoft YaHei"/>
        </w:rPr>
        <w:t>Worksheet 示例的可复用逻辑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VIVO: </w:t>
      </w:r>
      <w:r>
        <w:rPr>
          <w:rFonts w:ascii="Arial" w:hAnsi="Arial" w:eastAsia="Microsoft YaHei"/>
          <w:color w:val="23272F"/>
          <w:sz w:val="18"/>
        </w:rPr>
        <w:t>核心决策是中端手机市场中应主打 camera、design、performance 还是 affordability；重点变量包括 brand differentiation、feature importance、perceived value for money、purchase intention。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Cotti Coffee: </w:t>
      </w:r>
      <w:r>
        <w:rPr>
          <w:rFonts w:ascii="Arial" w:hAnsi="Arial" w:eastAsia="Microsoft YaHei"/>
          <w:color w:val="23272F"/>
          <w:sz w:val="18"/>
        </w:rPr>
        <w:t>核心决策是相对 Luckin 和 Starbucks 如何定位以吸引并留住顾客；重点变量包括 convenience perception、taste satisfaction、digital ordering experience、brand image、repeat purchase intention。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New Drone Camera Company: </w:t>
      </w:r>
      <w:r>
        <w:rPr>
          <w:rFonts w:ascii="Arial" w:hAnsi="Arial" w:eastAsia="Microsoft YaHei"/>
          <w:color w:val="23272F"/>
          <w:sz w:val="18"/>
        </w:rPr>
        <w:t>核心决策是如何进入 DJI 主导的无人机相机市场；重点变量包括 unmet need、feature importance、trust in new brand、switching risk、technical credibility。</w:t>
      </w:r>
    </w:p>
    <w:p>
      <w:pPr>
        <w:pStyle w:val="Heading2"/>
      </w:pPr>
      <w:r>
        <w:rPr>
          <w:rFonts w:ascii="Arial" w:hAnsi="Arial" w:eastAsia="Microsoft YaHei"/>
        </w:rPr>
        <w:t>Responsible Data Collection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取得自愿 consent。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保护隐私并避免不必要数据收集。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不操纵结果，不歪曲发现。</w:t>
      </w:r>
    </w:p>
    <w:p>
      <w:pPr>
        <w:pStyle w:val="Heading1"/>
      </w:pPr>
      <w:r>
        <w:rPr>
          <w:rFonts w:ascii="Arial" w:hAnsi="Arial" w:eastAsia="Microsoft YaHei"/>
        </w:rPr>
        <w:t>Week 6 · Qualitative Techniques 与 Open Coding</w:t>
      </w:r>
    </w:p>
    <w:p>
      <w:pPr>
        <w:pStyle w:val="Heading2"/>
      </w:pPr>
      <w:r>
        <w:rPr>
          <w:rFonts w:ascii="Arial" w:hAnsi="Arial" w:eastAsia="Microsoft YaHei"/>
        </w:rPr>
        <w:t>定性情报为什么重要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Quantitative: </w:t>
      </w:r>
      <w:r>
        <w:rPr>
          <w:rFonts w:ascii="Arial" w:hAnsi="Arial" w:eastAsia="Microsoft YaHei"/>
          <w:color w:val="23272F"/>
          <w:sz w:val="18"/>
        </w:rPr>
        <w:t>回答 what / how many / how often，用数字、评分、比例和统计关系描述现象。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Qualitative: </w:t>
      </w:r>
      <w:r>
        <w:rPr>
          <w:rFonts w:ascii="Arial" w:hAnsi="Arial" w:eastAsia="Microsoft YaHei"/>
          <w:color w:val="23272F"/>
          <w:sz w:val="18"/>
        </w:rPr>
        <w:t>回答 why / how / what does it mean，揭示动机、痛点、情绪、隐藏障碍和真实语境。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互补关系: </w:t>
      </w:r>
      <w:r>
        <w:rPr>
          <w:rFonts w:ascii="Arial" w:hAnsi="Arial" w:eastAsia="Microsoft YaHei"/>
          <w:color w:val="23272F"/>
          <w:sz w:val="18"/>
        </w:rPr>
        <w:t>访谈揭示人们说什么，观察揭示人们做什么，二手资料揭示市场已经留下什么信号。</w:t>
      </w:r>
    </w:p>
    <w:p>
      <w:pPr>
        <w:pStyle w:val="Heading2"/>
      </w:pPr>
      <w:r>
        <w:rPr>
          <w:rFonts w:ascii="Arial" w:hAnsi="Arial" w:eastAsia="Microsoft YaHei"/>
        </w:rPr>
        <w:t>Interviews：从人们的话中学习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定义: </w:t>
      </w:r>
      <w:r>
        <w:rPr>
          <w:rFonts w:ascii="Arial" w:hAnsi="Arial" w:eastAsia="Microsoft YaHei"/>
          <w:color w:val="23272F"/>
          <w:sz w:val="18"/>
        </w:rPr>
        <w:t>有目的的结构化或半结构化对话，用来获得关于经验、感知、需求和决策逻辑的一手定性证据。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适合发现: </w:t>
      </w:r>
      <w:r>
        <w:rPr>
          <w:rFonts w:ascii="Arial" w:hAnsi="Arial" w:eastAsia="Microsoft YaHei"/>
          <w:color w:val="23272F"/>
          <w:sz w:val="18"/>
        </w:rPr>
        <w:t>pain points、motivations、unmet needs、experiences、decision criteria。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好问题: </w:t>
      </w:r>
      <w:r>
        <w:rPr>
          <w:rFonts w:ascii="Arial" w:hAnsi="Arial" w:eastAsia="Microsoft YaHei"/>
          <w:color w:val="23272F"/>
          <w:sz w:val="18"/>
        </w:rPr>
        <w:t>围绕真实经历、具体场景和清晰单一主题，例如 “Tell me about the last time…”、“How do you currently solve it?”。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弱问题: </w:t>
      </w:r>
      <w:r>
        <w:rPr>
          <w:rFonts w:ascii="Arial" w:hAnsi="Arial" w:eastAsia="Microsoft YaHei"/>
          <w:color w:val="23272F"/>
          <w:sz w:val="18"/>
        </w:rPr>
        <w:t>leading questions、hypothetical questions、double-barreled questions、过于宽泛的 “Do you like it?”。</w:t>
      </w:r>
    </w:p>
    <w:p>
      <w:pPr>
        <w:pStyle w:val="Heading2"/>
      </w:pPr>
      <w:r>
        <w:rPr>
          <w:rFonts w:ascii="Arial" w:hAnsi="Arial" w:eastAsia="Microsoft YaHei"/>
        </w:rPr>
        <w:t>Observation：从行为中学习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观察目标: </w:t>
      </w:r>
      <w:r>
        <w:rPr>
          <w:rFonts w:ascii="Arial" w:hAnsi="Arial" w:eastAsia="Microsoft YaHei"/>
          <w:color w:val="23272F"/>
          <w:sz w:val="18"/>
        </w:rPr>
        <w:t>用户在哪里犹豫、是否中途放弃、每一步花多长时间、是否卡在支付或扫码等环节。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能发现: </w:t>
      </w:r>
      <w:r>
        <w:rPr>
          <w:rFonts w:ascii="Arial" w:hAnsi="Arial" w:eastAsia="Microsoft YaHei"/>
          <w:color w:val="23272F"/>
          <w:sz w:val="18"/>
        </w:rPr>
        <w:t>workarounds、friction points、inefficiencies、routine behaviour、environmental constraints。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核心提醒: </w:t>
      </w:r>
      <w:r>
        <w:rPr>
          <w:rFonts w:ascii="Arial" w:hAnsi="Arial" w:eastAsia="Microsoft YaHei"/>
          <w:color w:val="23272F"/>
          <w:sz w:val="18"/>
        </w:rPr>
        <w:t>People do not always do what they say, and they do not always say what they do。</w:t>
      </w:r>
    </w:p>
    <w:p>
      <w:pPr>
        <w:pStyle w:val="Heading2"/>
      </w:pPr>
      <w:r>
        <w:rPr>
          <w:rFonts w:ascii="Arial" w:hAnsi="Arial" w:eastAsia="Microsoft YaHei"/>
        </w:rPr>
        <w:t>Insight Generation Process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Data: 原始证据，如 quotes、observations、comments、notes。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Pattern: 重复出现的主题或信号。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Insight: 解释这个 pattern 为什么重要。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Decision: 将 insight 转化为下一步行动。</w:t>
      </w:r>
    </w:p>
    <w:p>
      <w:pPr>
        <w:pStyle w:val="Heading2"/>
      </w:pPr>
      <w:r>
        <w:rPr>
          <w:rFonts w:ascii="Arial" w:hAnsi="Arial" w:eastAsia="Microsoft YaHei"/>
        </w:rPr>
        <w:t>Signal vs Noise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Noise 是缺乏逻辑支持的随机意见、孤立偏见或与决策无关的细节。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Signal 是反复出现、指向真实需求且与决策高度相关的行为或模式。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战略情报不是收集更多信息，而是识别有意义的信号。</w:t>
      </w:r>
    </w:p>
    <w:p>
      <w:pPr>
        <w:pStyle w:val="Heading2"/>
      </w:pPr>
      <w:r>
        <w:rPr>
          <w:rFonts w:ascii="Arial" w:hAnsi="Arial" w:eastAsia="Microsoft YaHei"/>
        </w:rPr>
        <w:t>Open Coding 4 步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Identify Codes: 给数据中的关键意思贴标签。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Find Patterns: 合并相似 codes，找重复和聚类。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Generate Insights: 解释这些 patterns 的含义，寻找 repeaters 和 conflicts。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Make Decision: 用 insights 回答最初的战略问题。</w:t>
      </w:r>
    </w:p>
    <w:p>
      <w:pPr>
        <w:pStyle w:val="Heading2"/>
      </w:pPr>
      <w:r>
        <w:rPr>
          <w:rFonts w:ascii="Arial" w:hAnsi="Arial" w:eastAsia="Microsoft YaHei"/>
        </w:rPr>
        <w:t>Cat 示例的教学意义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Codes 包括 cute、quiet、many hair、sleep a lot、cost money、not like hold 等。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Patterns 可以合并为 look、maintenance、money、nature、touch、feeling。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Insight 不是“大家说猫可爱”，而是“如果你忙且喜欢安静独立的猫，它适合；如果你想要互动和抱抱，它可能不适合”。</w:t>
      </w:r>
    </w:p>
    <w:p>
      <w:pPr>
        <w:pStyle w:val="Heading2"/>
      </w:pPr>
      <w:r>
        <w:rPr>
          <w:rFonts w:ascii="Arial" w:hAnsi="Arial" w:eastAsia="Microsoft YaHei"/>
        </w:rPr>
        <w:t>Week 6 Artefact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提交 Week 6 artefact template。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提交 Taguette 生成的 codebook。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Part 1 复盘自己的 4-step planning framework。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Part 2 用三份 documents 做 open coding，并列出至少三个 patterns、三个 insights 和最终 decision。</w:t>
      </w:r>
    </w:p>
    <w:p>
      <w:pPr>
        <w:pStyle w:val="Heading1"/>
      </w:pPr>
      <w:r>
        <w:rPr>
          <w:rFonts w:ascii="Arial" w:hAnsi="Arial" w:eastAsia="Microsoft YaHei"/>
        </w:rPr>
        <w:t>二手数据来源目录</w:t>
      </w:r>
    </w:p>
    <w:p>
      <w:pPr>
        <w:pStyle w:val="Heading2"/>
      </w:pPr>
      <w:r>
        <w:rPr>
          <w:rFonts w:ascii="Arial" w:hAnsi="Arial" w:eastAsia="Microsoft YaHei"/>
        </w:rPr>
        <w:t>Government &amp; Public Institutions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World Bank；National Statistics Offices；U.S. Census Bureau；Eurostat；China National Bureau of Statistics；MIIT</w:t>
      </w:r>
    </w:p>
    <w:p>
      <w:pPr>
        <w:pStyle w:val="Heading2"/>
      </w:pPr>
      <w:r>
        <w:rPr>
          <w:rFonts w:ascii="Arial" w:hAnsi="Arial" w:eastAsia="Microsoft YaHei"/>
        </w:rPr>
        <w:t>Market Research Reports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Statista；McKinsey；iResearch 艾瑞咨询；AliResearch 阿里研究院；iiMedia 艾媒智库</w:t>
      </w:r>
    </w:p>
    <w:p>
      <w:pPr>
        <w:pStyle w:val="Heading2"/>
      </w:pPr>
      <w:r>
        <w:rPr>
          <w:rFonts w:ascii="Arial" w:hAnsi="Arial" w:eastAsia="Microsoft YaHei"/>
        </w:rPr>
        <w:t>Social Media &amp; Digital Trend Platforms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Google Trends；Baidu Trends；Weibo Index；WeChat/Weibo analytics；5118</w:t>
      </w:r>
    </w:p>
    <w:p>
      <w:pPr>
        <w:pStyle w:val="Heading2"/>
      </w:pPr>
      <w:r>
        <w:rPr>
          <w:rFonts w:ascii="Arial" w:hAnsi="Arial" w:eastAsia="Microsoft YaHei"/>
        </w:rPr>
        <w:t>News &amp; Trade Publications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TechCrunch；36Kr；虎嗅；亿欧；雷锋网</w:t>
      </w:r>
    </w:p>
    <w:p>
      <w:pPr>
        <w:pStyle w:val="Heading2"/>
      </w:pPr>
      <w:r>
        <w:rPr>
          <w:rFonts w:ascii="Arial" w:hAnsi="Arial" w:eastAsia="Microsoft YaHei"/>
        </w:rPr>
        <w:t>如何选择来源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政府/公共机构: </w:t>
      </w:r>
      <w:r>
        <w:rPr>
          <w:rFonts w:ascii="Arial" w:hAnsi="Arial" w:eastAsia="Microsoft YaHei"/>
          <w:color w:val="23272F"/>
          <w:sz w:val="18"/>
        </w:rPr>
        <w:t>可靠、权威、适合宏观和政策；但更新慢、用户层面深度有限。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市场研究: </w:t>
      </w:r>
      <w:r>
        <w:rPr>
          <w:rFonts w:ascii="Arial" w:hAnsi="Arial" w:eastAsia="Microsoft YaHei"/>
          <w:color w:val="23272F"/>
          <w:sz w:val="18"/>
        </w:rPr>
        <w:t>行业洞察和商业分析强；但可能昂贵且有提供者偏见。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新闻/媒体: </w:t>
      </w:r>
      <w:r>
        <w:rPr>
          <w:rFonts w:ascii="Arial" w:hAnsi="Arial" w:eastAsia="Microsoft YaHei"/>
          <w:color w:val="23272F"/>
          <w:sz w:val="18"/>
        </w:rPr>
        <w:t>更新快、能追踪事件；但可能主观、碎片化。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社交/实时数据: </w:t>
      </w:r>
      <w:r>
        <w:rPr>
          <w:rFonts w:ascii="Arial" w:hAnsi="Arial" w:eastAsia="Microsoft YaHei"/>
          <w:color w:val="23272F"/>
          <w:sz w:val="18"/>
        </w:rPr>
        <w:t>能捕捉用户情绪和动态趋势；但噪声大，需要过滤和分析。</w:t>
      </w:r>
    </w:p>
    <w:p>
      <w:pPr>
        <w:pStyle w:val="Heading1"/>
      </w:pPr>
      <w:r>
        <w:rPr>
          <w:rFonts w:ascii="Arial" w:hAnsi="Arial" w:eastAsia="Microsoft YaHei"/>
        </w:rPr>
        <w:t>Week 7 · Quantitative Techniques 与 SPSS</w:t>
      </w:r>
    </w:p>
    <w:p>
      <w:pPr>
        <w:pStyle w:val="Heading2"/>
      </w:pPr>
      <w:r>
        <w:rPr>
          <w:rFonts w:ascii="Arial" w:hAnsi="Arial" w:eastAsia="Microsoft YaHei"/>
        </w:rPr>
        <w:t>定量研究 8 步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Research planning: 明确 topic、problem、objective 和 research question。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From theory to hypotheses: 定义 DV/IV，提出可检验假设。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Questionnaire design: 设计背景、变量测量、题项和量表。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Sample size calculation: 通常用 95% confidence level、±5% margin of error、population size 估算样本量。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5. </w:t>
      </w:r>
      <w:r>
        <w:rPr>
          <w:rFonts w:ascii="Arial" w:hAnsi="Arial" w:eastAsia="Microsoft YaHei"/>
          <w:color w:val="23272F"/>
          <w:sz w:val="18"/>
        </w:rPr>
        <w:t>Data collection: 确定目标受访者和 sampling method。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6. </w:t>
      </w:r>
      <w:r>
        <w:rPr>
          <w:rFonts w:ascii="Arial" w:hAnsi="Arial" w:eastAsia="Microsoft YaHei"/>
          <w:color w:val="23272F"/>
          <w:sz w:val="18"/>
        </w:rPr>
        <w:t>Data input and cleaning: 输入、清洗、检查缺失值、无效值和编码问题。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7. </w:t>
      </w:r>
      <w:r>
        <w:rPr>
          <w:rFonts w:ascii="Arial" w:hAnsi="Arial" w:eastAsia="Microsoft YaHei"/>
          <w:color w:val="23272F"/>
          <w:sz w:val="18"/>
        </w:rPr>
        <w:t>Data analysis: 描述统计、相关、回归等。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8. </w:t>
      </w:r>
      <w:r>
        <w:rPr>
          <w:rFonts w:ascii="Arial" w:hAnsi="Arial" w:eastAsia="Microsoft YaHei"/>
          <w:color w:val="23272F"/>
          <w:sz w:val="18"/>
        </w:rPr>
        <w:t>Interpretation of findings: 把统计结果翻译成商业、政策或研究启示。</w:t>
      </w:r>
    </w:p>
    <w:p>
      <w:pPr>
        <w:pStyle w:val="Heading2"/>
      </w:pPr>
      <w:r>
        <w:rPr>
          <w:rFonts w:ascii="Arial" w:hAnsi="Arial" w:eastAsia="Microsoft YaHei"/>
        </w:rPr>
        <w:t>NEV 示例逻辑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RQ: 哪些因素显著影响中国大学生购买/使用 New Energy Vehicles 的意图。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DV: purchase/use intention toward NEVs。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IVs: environmental concern、perceived cost saving、charging convenience、government policy support、attitude toward NEVs。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Hypotheses 示例：H1 environmental concern positively influences NEV purchase intention；其余 IV 同理。</w:t>
      </w:r>
    </w:p>
    <w:p>
      <w:pPr>
        <w:pStyle w:val="Heading2"/>
      </w:pPr>
      <w:r>
        <w:rPr>
          <w:rFonts w:ascii="Arial" w:hAnsi="Arial" w:eastAsia="Microsoft YaHei"/>
        </w:rPr>
        <w:t>问卷与抽样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Questionnaire: </w:t>
      </w:r>
      <w:r>
        <w:rPr>
          <w:rFonts w:ascii="Arial" w:hAnsi="Arial" w:eastAsia="Microsoft YaHei"/>
          <w:color w:val="23272F"/>
          <w:sz w:val="18"/>
        </w:rPr>
        <w:t>避免 double-barreled、leading、模糊或过度学术化问题；语言要简单，量表要清晰。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Sample Size: </w:t>
      </w:r>
      <w:r>
        <w:rPr>
          <w:rFonts w:ascii="Arial" w:hAnsi="Arial" w:eastAsia="Microsoft YaHei"/>
          <w:color w:val="23272F"/>
          <w:sz w:val="18"/>
        </w:rPr>
        <w:t>样本量取决于 confidence level、margin of error 和 population size；课程示例中 population 5,000、95%、5% 时约需 357 responses。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Sampling: </w:t>
      </w:r>
      <w:r>
        <w:rPr>
          <w:rFonts w:ascii="Arial" w:hAnsi="Arial" w:eastAsia="Microsoft YaHei"/>
          <w:color w:val="23272F"/>
          <w:sz w:val="18"/>
        </w:rPr>
        <w:t>Probability sampling 更利于 generalisation；non-probability sampling 更便宜易执行但外推弱。</w:t>
      </w:r>
    </w:p>
    <w:p>
      <w:pPr>
        <w:pStyle w:val="Heading2"/>
      </w:pPr>
      <w:r>
        <w:rPr>
          <w:rFonts w:ascii="Arial" w:hAnsi="Arial" w:eastAsia="Microsoft YaHei"/>
        </w:rPr>
        <w:t>Survey vs Experiment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Survey: </w:t>
      </w:r>
      <w:r>
        <w:rPr>
          <w:rFonts w:ascii="Arial" w:hAnsi="Arial" w:eastAsia="Microsoft YaHei"/>
          <w:color w:val="23272F"/>
          <w:sz w:val="18"/>
        </w:rPr>
        <w:t>适合研究 beliefs、feelings、perceptions、自我报告和相关关系。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Experiment: </w:t>
      </w:r>
      <w:r>
        <w:rPr>
          <w:rFonts w:ascii="Arial" w:hAnsi="Arial" w:eastAsia="Microsoft YaHei"/>
          <w:color w:val="23272F"/>
          <w:sz w:val="18"/>
        </w:rPr>
        <w:t>适合研究 causality 和行为变化，通过控制条件观察真实差异。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组合策略: </w:t>
      </w:r>
      <w:r>
        <w:rPr>
          <w:rFonts w:ascii="Arial" w:hAnsi="Arial" w:eastAsia="Microsoft YaHei"/>
          <w:color w:val="23272F"/>
          <w:sz w:val="18"/>
        </w:rPr>
        <w:t>用 survey 理解感知，用 experiment 检验因果，结合能得到更强结论。</w:t>
      </w:r>
    </w:p>
    <w:p>
      <w:pPr>
        <w:pStyle w:val="Heading2"/>
      </w:pPr>
      <w:r>
        <w:rPr>
          <w:rFonts w:ascii="Arial" w:hAnsi="Arial" w:eastAsia="Microsoft YaHei"/>
        </w:rPr>
        <w:t>SPSS：Hypothesis Testing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根据理论写 null hypothesis 和 alternative hypothesis。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选择 significance level，常见 0.01、0.05 或 0.10。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收集数据并使用合适统计检验计算 p-value。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比较 p-value 与 significance level。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5. </w:t>
      </w:r>
      <w:r>
        <w:rPr>
          <w:rFonts w:ascii="Arial" w:hAnsi="Arial" w:eastAsia="Microsoft YaHei"/>
          <w:color w:val="23272F"/>
          <w:sz w:val="18"/>
        </w:rPr>
        <w:t>得出结论：p &lt; 0.05 则 reject H0 / accept HA；p &gt; 0.05 则 do not reject H0 / reject HA。</w:t>
      </w:r>
    </w:p>
    <w:p>
      <w:pPr>
        <w:pStyle w:val="Heading2"/>
      </w:pPr>
      <w:r>
        <w:rPr>
          <w:rFonts w:ascii="Arial" w:hAnsi="Arial" w:eastAsia="Microsoft YaHei"/>
        </w:rPr>
        <w:t>BESV SPSS Lab 模型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Research objective: 检验 Tangibility、Reliability、Responsiveness、Assurance、Empathy 对 service quality delivery 的影响。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Questionnaire: 6 个变量（5 IVs + 1 DV），每个 construct 4 个题项，10-point Likert scale。</w:t>
      </w:r>
    </w:p>
    <w:p>
      <w:pPr>
        <w:pStyle w:val="Heading2"/>
      </w:pPr>
      <w:r>
        <w:rPr>
          <w:rFonts w:ascii="Arial" w:hAnsi="Arial" w:eastAsia="Microsoft YaHei"/>
        </w:rPr>
        <w:t>Reliability Analysis：Cronbach Alpha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用途: </w:t>
      </w:r>
      <w:r>
        <w:rPr>
          <w:rFonts w:ascii="Arial" w:hAnsi="Arial" w:eastAsia="Microsoft YaHei"/>
          <w:color w:val="23272F"/>
          <w:sz w:val="18"/>
        </w:rPr>
        <w:t>衡量问卷量表的 internal consistency，尤其适用于多个 Likert scale items 构成的 construct。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SPSS 路径: </w:t>
      </w:r>
      <w:r>
        <w:rPr>
          <w:rFonts w:ascii="Arial" w:hAnsi="Arial" w:eastAsia="Microsoft YaHei"/>
          <w:color w:val="23272F"/>
          <w:sz w:val="18"/>
        </w:rPr>
        <w:t>Analyze → Scale → Reliability Analysis；把题项放入 Items，Statistics 中勾选 Item、Scale、Scale if Item Deleted 和 Inter-Item Correlations。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合格线: </w:t>
      </w:r>
      <w:r>
        <w:rPr>
          <w:rFonts w:ascii="Arial" w:hAnsi="Arial" w:eastAsia="Microsoft YaHei"/>
          <w:color w:val="23272F"/>
          <w:sz w:val="18"/>
        </w:rPr>
        <w:t>课程采用 alpha ≥ 0.70 为可接受。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解释阈值: </w:t>
      </w:r>
      <w:r>
        <w:rPr>
          <w:rFonts w:ascii="Arial" w:hAnsi="Arial" w:eastAsia="Microsoft YaHei"/>
          <w:color w:val="23272F"/>
          <w:sz w:val="18"/>
        </w:rPr>
        <w:t>&lt; .6 Poor；.6–&lt;.7 Moderate；.7–&lt;.8 Good；.8–&lt;.9 Very Good；≥ .9 Excellent。若 alpha &gt; .95，应检查题项是否过度重复。</w:t>
      </w:r>
    </w:p>
    <w:p>
      <w:pPr>
        <w:pStyle w:val="Heading2"/>
      </w:pPr>
      <w:r>
        <w:rPr>
          <w:rFonts w:ascii="Arial" w:hAnsi="Arial" w:eastAsia="Microsoft YaHei"/>
        </w:rPr>
        <w:t>Summated Score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在进行相关或回归前，需要用 Transform → Compute Variable 为每个 IV 和 DV 计算综合得分。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Target Variable 是新变量名；Numeric Expression 用均值、加总或函数组合题项；不要在表达式末尾加句号。</w:t>
      </w:r>
    </w:p>
    <w:p>
      <w:pPr>
        <w:pStyle w:val="Heading2"/>
      </w:pPr>
      <w:r>
        <w:rPr>
          <w:rFonts w:ascii="Arial" w:hAnsi="Arial" w:eastAsia="Microsoft YaHei"/>
        </w:rPr>
        <w:t>Correlation Analysis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Pearson Moment Correlation 用于检查变量之间的 association；association 不等于正式证明因果。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Guildford 规则：&gt; .90 very strong；.71–.90 strong；.41–.70 moderate；.20–.40 weak；&lt; .20 very weak。</w:t>
      </w:r>
    </w:p>
    <w:p>
      <w:pPr>
        <w:pStyle w:val="Heading2"/>
      </w:pPr>
      <w:r>
        <w:rPr>
          <w:rFonts w:ascii="Arial" w:hAnsi="Arial" w:eastAsia="Microsoft YaHei"/>
        </w:rPr>
        <w:t>Multiple Regression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1. </w:t>
      </w:r>
      <w:r>
        <w:rPr>
          <w:rFonts w:ascii="Arial" w:hAnsi="Arial" w:eastAsia="Microsoft YaHei"/>
          <w:color w:val="23272F"/>
          <w:sz w:val="18"/>
        </w:rPr>
        <w:t>Testing hypotheses: 看 ANOVA 和 coefficients 的 Sig.。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2. </w:t>
      </w:r>
      <w:r>
        <w:rPr>
          <w:rFonts w:ascii="Arial" w:hAnsi="Arial" w:eastAsia="Microsoft YaHei"/>
          <w:color w:val="23272F"/>
          <w:sz w:val="18"/>
        </w:rPr>
        <w:t>Variance explained: 看 R Square，例如 BESV 中 5 个 IVs 解释 51.9% service quality variance。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3. </w:t>
      </w:r>
      <w:r>
        <w:rPr>
          <w:rFonts w:ascii="Arial" w:hAnsi="Arial" w:eastAsia="Microsoft YaHei"/>
          <w:color w:val="23272F"/>
          <w:sz w:val="18"/>
        </w:rPr>
        <w:t>Most important predictor: 看 standardized coefficients Beta，BESV 中 Tangibility 最重要，其次 Assurance。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135C6E"/>
          <w:sz w:val="18"/>
        </w:rPr>
        <w:t xml:space="preserve">4. </w:t>
      </w:r>
      <w:r>
        <w:rPr>
          <w:rFonts w:ascii="Arial" w:hAnsi="Arial" w:eastAsia="Microsoft YaHei"/>
          <w:color w:val="23272F"/>
          <w:sz w:val="18"/>
        </w:rPr>
        <w:t>Regression model: 用 unstandardized B 写预测方程。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BESV 方程示例：Y = 9.526 + 0.459(Tangibility) - 0.002(Reliability) + 0.016(Responsiveness) + 0.297(Assurance) + 0.002(Empathy) + e。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BESV 结果示例：H1 Tangibility supported；H4 Assurance supported；Reliability、Responsiveness、Empathy not supported。</w:t>
      </w:r>
    </w:p>
    <w:p>
      <w:pPr>
        <w:pStyle w:val="Heading2"/>
      </w:pPr>
      <w:r>
        <w:rPr>
          <w:rFonts w:ascii="Arial" w:hAnsi="Arial" w:eastAsia="Microsoft YaHei"/>
        </w:rPr>
        <w:t>SEM / Smart-PLS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SEM 用于变量关系复杂、存在多个 IV/DV、moderators、mediators 时；常见软件包括 AMOS 和 SMART-PLS。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SEM 常用于 Confirmatory Factor Analysis 和 path model / hypothesis testing。</w:t>
      </w:r>
    </w:p>
    <w:p>
      <w:pPr>
        <w:pStyle w:val="Heading1"/>
      </w:pPr>
      <w:r>
        <w:rPr>
          <w:rFonts w:ascii="Arial" w:hAnsi="Arial" w:eastAsia="Microsoft YaHei"/>
        </w:rPr>
        <w:t>Week 8 · Mixed Methods 与证据整合</w:t>
      </w:r>
    </w:p>
    <w:p>
      <w:pPr>
        <w:pStyle w:val="Heading2"/>
      </w:pPr>
      <w:r>
        <w:rPr>
          <w:rFonts w:ascii="Arial" w:hAnsi="Arial" w:eastAsia="Microsoft YaHei"/>
        </w:rPr>
        <w:t>定义与使用场景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Mixed methods 将定性与定量组件整合在同一个研究中，用来回答单一方法无法完整回答的问题。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Triangulation: </w:t>
      </w:r>
      <w:r>
        <w:rPr>
          <w:rFonts w:ascii="Arial" w:hAnsi="Arial" w:eastAsia="Microsoft YaHei"/>
          <w:color w:val="23272F"/>
          <w:sz w:val="18"/>
        </w:rPr>
        <w:t>多个方法指向同一结论时，结论可信度更高。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Complementarity: </w:t>
      </w:r>
      <w:r>
        <w:rPr>
          <w:rFonts w:ascii="Arial" w:hAnsi="Arial" w:eastAsia="Microsoft YaHei"/>
          <w:color w:val="23272F"/>
          <w:sz w:val="18"/>
        </w:rPr>
        <w:t>定量回答 how many/how much/how often，定性回答 why/how/meaning；组合后既有规模也有深度。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何时使用: </w:t>
      </w:r>
      <w:r>
        <w:rPr>
          <w:rFonts w:ascii="Arial" w:hAnsi="Arial" w:eastAsia="Microsoft YaHei"/>
          <w:color w:val="23272F"/>
          <w:sz w:val="18"/>
        </w:rPr>
        <w:t>研究问题同时需要数字和语境；定量结果需要解释；需要先用定性发展量表或题项；需要用多方法增强可信度。</w:t>
      </w:r>
    </w:p>
    <w:p>
      <w:pPr>
        <w:pStyle w:val="Heading2"/>
      </w:pPr>
      <w:r>
        <w:rPr>
          <w:rFonts w:ascii="Arial" w:hAnsi="Arial" w:eastAsia="Microsoft YaHei"/>
        </w:rPr>
        <w:t>三种 Mixed Methods 设计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Explanatory Sequential: Quant → Qual: </w:t>
      </w:r>
      <w:r>
        <w:rPr>
          <w:rFonts w:ascii="Arial" w:hAnsi="Arial" w:eastAsia="Microsoft YaHei"/>
          <w:color w:val="23272F"/>
          <w:sz w:val="18"/>
        </w:rPr>
        <w:t>先分析定量数据，再用访谈/焦点小组解释数字背后的原因。Smart Study App 示例中，10,000 下载但 Week 1 后仅 25% active，定性发现原因是 onboarding 复杂、用户不知道从哪里开始。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Exploratory Sequential: Qual → Quant: </w:t>
      </w:r>
      <w:r>
        <w:rPr>
          <w:rFonts w:ascii="Arial" w:hAnsi="Arial" w:eastAsia="Microsoft YaHei"/>
          <w:color w:val="23272F"/>
          <w:sz w:val="18"/>
        </w:rPr>
        <w:t>先用定性探索未知，再形成假设和问卷进行定量验证。Campus Vending Machine 示例中，先发现 payment friction、habit/inertia、complex UI，再用问卷测量 payment convenience、usage habit、perceived ease of use 对 behavioral intention 的影响。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673A85"/>
          <w:sz w:val="18"/>
        </w:rPr>
        <w:t xml:space="preserve">Convergent Parallel: Qual + Quant: </w:t>
      </w:r>
      <w:r>
        <w:rPr>
          <w:rFonts w:ascii="Arial" w:hAnsi="Arial" w:eastAsia="Microsoft YaHei"/>
          <w:color w:val="23272F"/>
          <w:sz w:val="18"/>
        </w:rPr>
        <w:t>同时收集定性和定量，分别分析后比较。Amsterdam cycling 示例中比较 perceived risk zones 与 actual accident hot-spots。</w:t>
      </w:r>
    </w:p>
    <w:p>
      <w:pPr>
        <w:pStyle w:val="Heading2"/>
      </w:pPr>
      <w:r>
        <w:rPr>
          <w:rFonts w:ascii="Arial" w:hAnsi="Arial" w:eastAsia="Microsoft YaHei"/>
        </w:rPr>
        <w:t>整合才是价值所在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混合方法不是做两份互不相干的研究；价值来自把结果连接成 integrated intelligence。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当结果 converge，说明结论更稳；当结果 diverge，不代表失败，而是提示存在隐藏变量、语境差异或 perception vs behavior 的差异。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处理矛盾的步骤：Don’t ignore it → Investigate deeper → Reframe the problem → Generate insight。</w:t>
      </w:r>
    </w:p>
    <w:p>
      <w:pPr>
        <w:pStyle w:val="Heading2"/>
      </w:pPr>
      <w:r>
        <w:rPr>
          <w:rFonts w:ascii="Arial" w:hAnsi="Arial" w:eastAsia="Microsoft YaHei"/>
        </w:rPr>
        <w:t>行动化输出示例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Smart Study App: guided tutorial、simplified first-use interface、single “Start Here” pathway。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Campus Vending Machine: reduce payment friction、cultivate usage habits、simplify UI to reduce first-time drop-off。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Amsterdam Cycling: 若感知危险与事故高发区重合，立即干预；若不重合，进一步研究隐藏风险或误感知。</w:t>
      </w:r>
    </w:p>
    <w:p>
      <w:pPr>
        <w:pStyle w:val="Heading1"/>
      </w:pPr>
      <w:r>
        <w:rPr>
          <w:rFonts w:ascii="Arial" w:hAnsi="Arial" w:eastAsia="Microsoft YaHei"/>
        </w:rPr>
        <w:t>项目交付清单：从分析到 artefact</w:t>
      </w:r>
    </w:p>
    <w:p>
      <w:pPr>
        <w:pStyle w:val="Heading2"/>
      </w:pPr>
      <w:r>
        <w:rPr>
          <w:rFonts w:ascii="Arial" w:hAnsi="Arial" w:eastAsia="Microsoft YaHei"/>
        </w:rPr>
        <w:t>Week 3 Activity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行业结构判断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五力强度 1–100 + evidence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可选 complements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disruption 对行业结构的影响与建议</w:t>
      </w:r>
    </w:p>
    <w:p>
      <w:pPr>
        <w:pStyle w:val="Heading2"/>
      </w:pPr>
      <w:r>
        <w:rPr>
          <w:rFonts w:ascii="Arial" w:hAnsi="Arial" w:eastAsia="Microsoft YaHei"/>
        </w:rPr>
        <w:t>Week 4 Application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PESTEL 六维度趋势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每个趋势的来源、时间、假设与交叉验证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判断 trend vs fad 的证据</w:t>
      </w:r>
    </w:p>
    <w:p>
      <w:pPr>
        <w:pStyle w:val="Heading2"/>
      </w:pPr>
      <w:r>
        <w:rPr>
          <w:rFonts w:ascii="Arial" w:hAnsi="Arial" w:eastAsia="Microsoft YaHei"/>
        </w:rPr>
        <w:t>Week 5 Worksheet A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项目 brief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当前方向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下一步关键决策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已知信息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未知信息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需要证据的变量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优先级最高的 3 个变量</w:t>
      </w:r>
    </w:p>
    <w:p>
      <w:pPr>
        <w:pStyle w:val="Heading2"/>
      </w:pPr>
      <w:r>
        <w:rPr>
          <w:rFonts w:ascii="Arial" w:hAnsi="Arial" w:eastAsia="Microsoft YaHei"/>
        </w:rPr>
        <w:t>Week 5 Worksheet B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Variable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Why it matters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Indicator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Item/prompt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Best source of data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Later method fit</w:t>
      </w:r>
    </w:p>
    <w:p>
      <w:pPr>
        <w:pStyle w:val="Heading2"/>
      </w:pPr>
      <w:r>
        <w:rPr>
          <w:rFonts w:ascii="Arial" w:hAnsi="Arial" w:eastAsia="Microsoft YaHei"/>
        </w:rPr>
        <w:t>Week 6 Artefact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4-step planning framework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3 documents in APA style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Taguette open coding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codebook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至少 3 个 patterns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至少 3 个 insights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最终 decision</w:t>
      </w:r>
    </w:p>
    <w:p>
      <w:pPr>
        <w:pStyle w:val="Heading2"/>
      </w:pPr>
      <w:r>
        <w:rPr>
          <w:rFonts w:ascii="Arial" w:hAnsi="Arial" w:eastAsia="Microsoft YaHei"/>
        </w:rPr>
        <w:t>Week 7 Quantitative Work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research question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DV/IV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hypotheses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questionnaire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sample size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sampling method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cleaned dataset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analysis + interpretation</w:t>
      </w:r>
    </w:p>
    <w:p>
      <w:pPr>
        <w:pStyle w:val="Heading2"/>
      </w:pPr>
      <w:r>
        <w:rPr>
          <w:rFonts w:ascii="Arial" w:hAnsi="Arial" w:eastAsia="Microsoft YaHei"/>
        </w:rPr>
        <w:t>Week 8 Integration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说明选择哪一种 mixed-method design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连接 qualitative 与 quantitative findings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解释 convergent/divergent evidence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输出 actionable recommendation</w:t>
      </w:r>
    </w:p>
    <w:p>
      <w:pPr>
        <w:spacing w:before="100" w:after="40"/>
      </w:pPr>
      <w:r>
        <w:rPr>
          <w:rFonts w:ascii="Arial" w:hAnsi="Arial" w:eastAsia="Microsoft YaHei"/>
          <w:b/>
          <w:color w:val="2D7D5C"/>
          <w:sz w:val="20"/>
        </w:rPr>
        <w:t>最终报告写作顺序建议</w:t>
      </w:r>
    </w:p>
    <w:p>
      <w:pPr>
        <w:spacing w:after="34"/>
        <w:ind w:left="556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color w:val="23272F"/>
          <w:sz w:val="18"/>
        </w:rPr>
        <w:t>Decision problem → Industry/PESTEL context → Evidence gaps → Data plan → Qualitative findings → Quantitative findings → Integrated intelligence → Strategic recommendation。</w:t>
      </w:r>
    </w:p>
    <w:p>
      <w:pPr>
        <w:pStyle w:val="Heading1"/>
      </w:pPr>
      <w:r>
        <w:rPr>
          <w:rFonts w:ascii="Arial" w:hAnsi="Arial" w:eastAsia="Microsoft YaHei"/>
        </w:rPr>
        <w:t>已删除/合并的无效内容类型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9E3E40"/>
          <w:sz w:val="18"/>
        </w:rPr>
        <w:t xml:space="preserve">重复结构: </w:t>
      </w:r>
      <w:r>
        <w:rPr>
          <w:rFonts w:ascii="Arial" w:hAnsi="Arial" w:eastAsia="Microsoft YaHei"/>
          <w:color w:val="23272F"/>
          <w:sz w:val="18"/>
        </w:rPr>
        <w:t>各 PDF 中的页码、学院页眉、Build/Enhance/Leverage/Hand on 模板词、thank you 页、重复封面。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9E3E40"/>
          <w:sz w:val="18"/>
        </w:rPr>
        <w:t xml:space="preserve">OCR 噪声: </w:t>
      </w:r>
      <w:r>
        <w:rPr>
          <w:rFonts w:ascii="Arial" w:hAnsi="Arial" w:eastAsia="Microsoft YaHei"/>
          <w:color w:val="23272F"/>
          <w:sz w:val="18"/>
        </w:rPr>
        <w:t>浏览器地址栏、网站导航菜单、按钮、登录/注册/subscribe、截图中的随机词、孤立数字和错识别字符。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9E3E40"/>
          <w:sz w:val="18"/>
        </w:rPr>
        <w:t xml:space="preserve">低价值截图: </w:t>
      </w:r>
      <w:r>
        <w:rPr>
          <w:rFonts w:ascii="Arial" w:hAnsi="Arial" w:eastAsia="Microsoft YaHei"/>
          <w:color w:val="23272F"/>
          <w:sz w:val="18"/>
        </w:rPr>
        <w:t>仅展示软件界面而没有新增概念的页面不再逐字转写，只在相关流程中保留操作路径或判断标准。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9E3E40"/>
          <w:sz w:val="18"/>
        </w:rPr>
        <w:t xml:space="preserve">重复来源: </w:t>
      </w:r>
      <w:r>
        <w:rPr>
          <w:rFonts w:ascii="Arial" w:hAnsi="Arial" w:eastAsia="Microsoft YaHei"/>
          <w:color w:val="23272F"/>
          <w:sz w:val="18"/>
        </w:rPr>
        <w:t>Week 6 data sources 两个 PDF 内容完全相同，保留为来源覆盖，知识点只呈现一次。</w:t>
      </w:r>
    </w:p>
    <w:p>
      <w:pPr>
        <w:spacing w:after="34"/>
        <w:ind w:left="272" w:hanging="136"/>
      </w:pPr>
      <w:r>
        <w:rPr>
          <w:rFonts w:ascii="Arial" w:hAnsi="Arial" w:eastAsia="Microsoft YaHei"/>
          <w:color w:val="5C6370"/>
          <w:sz w:val="18"/>
        </w:rPr>
        <w:t xml:space="preserve">- </w:t>
      </w:r>
      <w:r>
        <w:rPr>
          <w:rFonts w:ascii="Arial" w:hAnsi="Arial" w:eastAsia="Microsoft YaHei"/>
          <w:b/>
          <w:color w:val="9E3E40"/>
          <w:sz w:val="18"/>
        </w:rPr>
        <w:t xml:space="preserve">过细原文: </w:t>
      </w:r>
      <w:r>
        <w:rPr>
          <w:rFonts w:ascii="Arial" w:hAnsi="Arial" w:eastAsia="Microsoft YaHei"/>
          <w:color w:val="23272F"/>
          <w:sz w:val="18"/>
        </w:rPr>
        <w:t>不再逐行搬运案例数字、菜单和长列表；改为提炼成概念、判断规则、流程和项目可执行清单。</w:t>
      </w:r>
    </w:p>
    <w:sectPr w:rsidR="00FC693F" w:rsidRPr="0006063C" w:rsidSect="00034616">
      <w:pgSz w:w="12240" w:h="15840"/>
      <w:pgMar w:top="907" w:right="907" w:bottom="79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C6370"/>
        <w:sz w:val="16"/>
      </w:rPr>
      <w:t>ENT 结构化知识点整理 · 重构版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44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35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73A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3272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color w:val="135C6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