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GuardianHub 检测优化与验收报告</w:t>
      </w:r>
    </w:p>
    <w:p>
      <w:r>
        <w:t>验收日期 2026年9月24日</w:t>
      </w:r>
    </w:p>
    <w:p>
      <w:pPr>
        <w:pStyle w:val="Heading1"/>
      </w:pPr>
      <w:r>
        <w:t>验收结论</w:t>
      </w:r>
    </w:p>
    <w:p>
      <w:r>
        <w:t>本轮完成了工程基线检查、核心隐私数据流修正、日志与签名配置清理、自动化回归、未签名 HAP 构建和参赛材料整理。工程验证通过，正式比赛发布验收暂不通过。主要阻塞是旧签名凭据轮换、新签名 HAP、真实设备回归、生产服务与实录视频尚未完成。</w:t>
      </w:r>
    </w:p>
    <w:p>
      <w:r>
        <w:t>检查依据为用户提供的 GuardianHub 参赛交付与产品化执行方案。实际仓库为 E:/hmous/Privacy-Sentinel，未使用方案示例中的 E:/GuardianHub。起点提交为 ebf6e37df73a46be885bb7534c5c5125e6efbace，工作分支为 codex/contest-release-hardening；本次改动留在工作区，未提交、未推送、未发布。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4252"/>
      </w:tblGrid>
      <w:tr>
        <w:trPr>
          <w:tblHeader/>
        </w:trPr>
        <w:tc>
          <w:tcPr>
            <w:tcW w:type="dxa" w:w="198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sz w:val="18"/>
              </w:rPr>
              <w:t>验证项</w:t>
            </w:r>
          </w:p>
        </w:tc>
        <w:tc>
          <w:tcPr>
            <w:tcW w:type="dxa" w:w="340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sz w:val="18"/>
              </w:rPr>
              <w:t>初始状态</w:t>
            </w:r>
          </w:p>
        </w:tc>
        <w:tc>
          <w:tcPr>
            <w:tcW w:type="dxa" w:w="425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sz w:val="18"/>
              </w:rPr>
              <w:t>本轮结果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后端 pytest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197通过 3失败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203通过 0失败</w:t>
            </w:r>
          </w:p>
        </w:tc>
      </w:tr>
      <w:tr>
        <w:tc>
          <w:tcPr>
            <w:tcW w:type="dxa" w:w="198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后端覆盖率</w:t>
            </w:r>
          </w:p>
        </w:tc>
        <w:tc>
          <w:tcPr>
            <w:tcW w:type="dxa" w:w="340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73.81%</w:t>
            </w:r>
          </w:p>
        </w:tc>
        <w:tc>
          <w:tcPr>
            <w:tcW w:type="dxa" w:w="425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最后一次74.52% 高于70%门槛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前端测试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18通过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20通过 共6个测试文件</w:t>
            </w:r>
          </w:p>
        </w:tc>
      </w:tr>
      <w:tr>
        <w:tc>
          <w:tcPr>
            <w:tcW w:type="dxa" w:w="198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前端生产构建</w:t>
            </w:r>
          </w:p>
        </w:tc>
        <w:tc>
          <w:tcPr>
            <w:tcW w:type="dxa" w:w="340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425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端侧威胁样本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304通过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304通过 0失败</w:t>
            </w:r>
          </w:p>
        </w:tc>
      </w:tr>
      <w:tr>
        <w:tc>
          <w:tcPr>
            <w:tcW w:type="dxa" w:w="198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隐私数据流契约</w:t>
            </w:r>
          </w:p>
        </w:tc>
        <w:tc>
          <w:tcPr>
            <w:tcW w:type="dxa" w:w="340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未建立</w:t>
            </w:r>
          </w:p>
        </w:tc>
        <w:tc>
          <w:tcPr>
            <w:tcW w:type="dxa" w:w="425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新增脚本通过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鸿蒙构建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原脚本缺少CLI失败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使用本机SDK构建成功</w:t>
            </w:r>
          </w:p>
        </w:tc>
      </w:tr>
      <w:tr>
        <w:tc>
          <w:tcPr>
            <w:tcW w:type="dxa" w:w="198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API与Web</w:t>
            </w:r>
          </w:p>
        </w:tc>
        <w:tc>
          <w:tcPr>
            <w:tcW w:type="dxa" w:w="340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待启动检查</w:t>
            </w:r>
          </w:p>
        </w:tc>
        <w:tc>
          <w:tcPr>
            <w:tcW w:type="dxa" w:w="425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8001健康正常 5174返回200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真机与正式签名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无验证证据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仍待完成</w:t>
            </w:r>
          </w:p>
        </w:tc>
      </w:tr>
    </w:tbl>
    <w:p/>
    <w:p>
      <w:r>
        <w:t>测试通过仅代表列出的自动化范围，不等于发现全部漏洞，也不证明真实设备、模型服务或赛事提交已经验收。未调用真实模型进行付费或含用户内容的测试。</w:t>
      </w:r>
    </w:p>
    <w:p>
      <w:r>
        <w:br w:type="page"/>
      </w:r>
    </w:p>
    <w:p>
      <w:pPr>
        <w:pStyle w:val="Heading1"/>
      </w:pPr>
      <w:r>
        <w:t>发现的问题与改进</w:t>
      </w:r>
    </w:p>
    <w:p>
      <w:r>
        <w:t>最高优先级问题是“本地”语义与真实数据流不一致。图片和代码页默认 online，分享页先解析二维码后仍调用后端，文档页本地扫描后自动请求远程复核；Web 的本地模式也会把文件发到服务器。</w:t>
      </w:r>
    </w:p>
    <w:p>
      <w:r>
        <w:t>本次将鸿蒙图片与代码页默认设为 hybrid，分享图片、链接和代码默认执行端侧流程，文档页默认不再调用后端。新增单独的增强入口和逐次授权弹窗。GuardianApi 在创建 HTTP 请求前要求确认，并提示目的地址、文件数量、字节数和原内容上传风险。拒绝授权不会发送；网络失败不自动重试。</w:t>
      </w:r>
    </w:p>
    <w:p>
      <w:r>
        <w:t>付款码及登录、身份凭证 URL 增加高风险分类与隐藏内容，图片页和分享页阻止此类二维码原图增强上传。图像未识别出二维码时仍明确提示没有执行端侧 OCR，不能把未命中当作安全结论。二维码误识别和漏识别风险仍然存在。</w:t>
      </w:r>
    </w:p>
    <w:p>
      <w:r>
        <w:t>ShareCheckAbility 不再输出完整 Want、URI 数组和前100字原文。新增 PrivacyLogger，仅接收计数及布尔状态；EntryAbility 不再输出异常对象。代码示例里的 console.log 是待检测样本，不是应用运行日志。</w:t>
      </w:r>
    </w:p>
    <w:p>
      <w:r>
        <w:t>Web 增加所有分析与处理 POST 的逐次确认，并把“材料仅在本机分析”改为“私有后端规则”。后端模型接口要求 X-Guardian-Consent: explicit，代码修复错误不再返回底层异常文本。后端引擎提示也改为“已上传到后端，未发送给外部模型”。该请求头是声明，不是账号认证或用户点击的密码学证明。</w:t>
      </w:r>
    </w:p>
    <w:p>
      <w:r>
        <w:t>签名配置中的明文密码、签名材料路径和固定本机路径已从当前受跟踪文件删除。新增无密码模板及本地配置忽略规则。Git历史仍保留旧配置，发现相关历史提交包括363b88d、166abe7；本次未重写远端历史，也未吊销或轮换证书。常见密钥特征扫描未发现其他匹配，但不是完整秘密审计。</w:t>
      </w:r>
    </w:p>
    <w:p>
      <w:r>
        <w:t>三个基线测试失败来自用例在模拟配置注入前依赖本机Qwen设置；删除环境依赖断言后仍保留开关和密钥组合断言，未弱化核心行为检查。</w:t>
      </w:r>
    </w:p>
    <w:p>
      <w:r>
        <w:br w:type="page"/>
      </w:r>
    </w:p>
    <w:p>
      <w:pPr>
        <w:pStyle w:val="Heading1"/>
      </w:pPr>
      <w:r>
        <w:t>数据流与情报库验收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4252"/>
      </w:tblGrid>
      <w:tr>
        <w:trPr>
          <w:tblHeader/>
        </w:trPr>
        <w:tc>
          <w:tcPr>
            <w:tcW w:type="dxa" w:w="198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340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sz w:val="18"/>
              </w:rPr>
              <w:t>默认处理与来源</w:t>
            </w:r>
          </w:p>
        </w:tc>
        <w:tc>
          <w:tcPr>
            <w:tcW w:type="dxa" w:w="425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sz w:val="18"/>
              </w:rPr>
              <w:t>增强及限制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图片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端侧二维码 未上传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授权后上传原图OCR 凭证码阻断</w:t>
            </w:r>
          </w:p>
        </w:tc>
      </w:tr>
      <w:tr>
        <w:tc>
          <w:tcPr>
            <w:tcW w:type="dxa" w:w="198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链接</w:t>
            </w:r>
          </w:p>
        </w:tc>
        <w:tc>
          <w:tcPr>
            <w:tcW w:type="dxa" w:w="340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端侧静态规则 未上传</w:t>
            </w:r>
          </w:p>
        </w:tc>
        <w:tc>
          <w:tcPr>
            <w:tcW w:type="dxa" w:w="425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未覆盖实时信誉及实际跳转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代码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端侧危险API与凭据规则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授权代码增强可调用模型</w:t>
            </w:r>
          </w:p>
        </w:tc>
      </w:tr>
      <w:tr>
        <w:tc>
          <w:tcPr>
            <w:tcW w:type="dxa" w:w="198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ZIP</w:t>
            </w:r>
          </w:p>
        </w:tc>
        <w:tc>
          <w:tcPr>
            <w:tcW w:type="dxa" w:w="340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端侧结构和威胁扫描</w:t>
            </w:r>
          </w:p>
        </w:tc>
        <w:tc>
          <w:tcPr>
            <w:tcW w:type="dxa" w:w="425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增强上传整包 非最小化摘要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文档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端侧结构 宏 脚本 命名规则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授权后上传材料做完整复核</w:t>
            </w:r>
          </w:p>
        </w:tc>
      </w:tr>
      <w:tr>
        <w:tc>
          <w:tcPr>
            <w:tcW w:type="dxa" w:w="198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信誉查询</w:t>
            </w:r>
          </w:p>
        </w:tc>
        <w:tc>
          <w:tcPr>
            <w:tcW w:type="dxa" w:w="340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默认关闭</w:t>
            </w:r>
          </w:p>
        </w:tc>
        <w:tc>
          <w:tcPr>
            <w:tcW w:type="dxa" w:w="425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仅哈希和风险等级 不发送原名或URL</w:t>
            </w:r>
          </w:p>
        </w:tc>
      </w:tr>
      <w:t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PC Web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后端演示端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 w:val="0"/>
                <w:sz w:val="18"/>
              </w:rPr>
              <w:t>每次上传确认 无浏览器完整离线引擎</w:t>
            </w:r>
          </w:p>
        </w:tc>
      </w:tr>
    </w:tbl>
    <w:p/>
    <w:p>
      <w:r>
        <w:t>情报库新增Ed25519验证基础。后端校验签名、单调版本、时效、SHA256格式和来源，先验证再原子安装并保存上一版。错误更新保留尚有效的进程缓存，过期降级为测试规则和unknown。当前实现的是SHA256情报，不包含生产域名、URL或包名情报供应链。</w:t>
      </w:r>
    </w:p>
    <w:p>
      <w:r>
        <w:t>端侧新增固定公钥校验、完整签名包存储、重载校验、过期降级、版本防重放和显式回滚方法。当前可信公钥为空，因此拒绝生产更新；没有伪造生产情报。内置EICAR明确标记为测试规则。后端与端侧签名载荷格式不同，详见部署配置说明；生产签发工具与设备验证尚未完成。</w:t>
      </w:r>
    </w:p>
    <w:p>
      <w:r>
        <w:t>仍需优化：统一六级风险状态目前未完成，现有主要模型仍是高、中、低；unknown通过说明和威胁判定体现。分享多文件只检测第一个并提示，尚未完成整批统一结果。代码ZIP增强仍上传完整文件，不是摘要；上传提示只有外层文件数与字节数，不提供压缩包内文件数量。历史搜索、个人策略及误报反馈未纳入本次实现。</w:t>
      </w:r>
    </w:p>
    <w:p>
      <w:r>
        <w:br w:type="page"/>
      </w:r>
    </w:p>
    <w:p>
      <w:pPr>
        <w:pStyle w:val="Heading1"/>
      </w:pPr>
      <w:r>
        <w:t>发布条件与剩余风险</w:t>
      </w:r>
    </w:p>
    <w:p>
      <w:r>
        <w:t>正式发布阻塞一：签名凭据曾进入历史。必须由持有人轮换密码及必要证书，提供新的本地签名配置。当前HAP为未签名debug包，不能作为正式签名参赛包。发布脚本要求HTTPS源地址及本地签名文件，构建后恢复受跟踪配置。</w:t>
      </w:r>
    </w:p>
    <w:p>
      <w:r>
        <w:t>正式发布阻塞二：HDC list targets返回Empty。图库分享、真实扫码、文件权限、授权弹窗、断网、拒绝授权、重复分享、多文件、超大文件、无扩展名、敏感URI等场景尚未完成设备回归。编译成功和Node运行端侧逻辑不能代替设备证据。</w:t>
      </w:r>
    </w:p>
    <w:p>
      <w:r>
        <w:t>正式发布阻塞三：当前没有部署真实HTTPS后端。开发服务缺少完整认证、访问隔离和网关限流，不适合直接公开；上传留存与历史访问需要正式部署审计。本轮不进行外部部署、密钥操作、公开上传或赛事提交。</w:t>
      </w:r>
    </w:p>
    <w:p>
      <w:r>
        <w:t>正式发布阻塞四：未录制最终版本视频、未取得团队身份与权属证据。submission包含说明、功能清单、架构图、数据流、演示脚本、检查清单和调试产物；原创声明仅是待填写清单，没有代替团队签署。</w:t>
      </w:r>
    </w:p>
    <w:p>
      <w:r>
        <w:t>其他限制：未验证真实模型识别率与误报率；自动化测试使用合成样本，不能推导真实威胁检出率。签名库生产来源和公钥未配置，缺少线上请求限流与正式发布工具。鸿蒙构建存在showDialog弃用、部分SDK调用异常处理提示及未配置签名警告；后端存在Starlette/httpx弃用警告，未把警告隐藏为零。</w:t>
      </w:r>
    </w:p>
    <w:p>
      <w:r>
        <w:t>建议顺序：先轮换凭据并准备真机，再配置正式服务和发布签名，完成全部分享回归与抓包确认，最后录制视频、确认权属并更新材料和哈希。P2的SBOM、依赖漏洞、组织策略和多设备同步按原方案留在后续产品化阶段。</w:t>
      </w:r>
    </w:p>
    <w:p>
      <w:r>
        <w:br w:type="page"/>
      </w:r>
    </w:p>
    <w:p>
      <w:pPr>
        <w:pStyle w:val="Heading1"/>
      </w:pPr>
      <w:r>
        <w:t>复测命令与交付索引</w:t>
      </w:r>
    </w:p>
    <w:p>
      <w:r>
        <w:t>后端在platform/backend执行：python -m pytest -o cache_dir=E:/hmous/qa-cache --basetemp=E:/hmous/qa-tmp。使用独立缓存是因为原有.pytest_cache权限异常，没有更改其ACL。</w:t>
      </w:r>
    </w:p>
    <w:p>
      <w:r>
        <w:t>前端在platform/frontend执行npm test和npm run build。威胁检查在仓库根目录依次执行python tools/threat-tests/make_fixtures.py、node tools/threat-tests/prepare.mjs、node --experimental-strip-types tools/threat-tests/run-tests.mjs、node tools/threat-tests/privacy-contract.mjs。发布静态检查执行python tools/release-check.py。</w:t>
      </w:r>
    </w:p>
    <w:p>
      <w:r>
        <w:t>鸿蒙在platform/harmony执行.\build.ps1。启动使用scripts/start-alongside-hekgemi.ps1，验证http://127.0.0.1:8001/api/health和http://127.0.0.1:5174/。本次保留HekGemi占用的8000与5173进程。</w:t>
      </w:r>
    </w:p>
    <w:p>
      <w:r>
        <w:t>调试产物为submission/release/GuardianHub-debug-unsigned.hap，大小1236503字节，SHA256如下。</w:t>
      </w:r>
    </w:p>
    <w:p>
      <w:r>
        <w:t>CB1C3861EBBDED05701CDFB23B39847C39FF22742C1F54061CB101ED67E358FA</w:t>
      </w:r>
    </w:p>
    <w:p>
      <w:r>
        <w:t>交付包括本报告、工程基线报告、部署配置说明、鸿蒙能力说明、项目介绍、submission材料和修改清单。完整修改文件路径见同目录修改清单.md；主要代码涉及鸿蒙五个业务页面、GuardianApi、NetworkConsent、PrivacyLogger、二维码与情报服务，Web请求层及模式文案，后端授权与签名库，以及测试和CI。</w:t>
      </w:r>
    </w:p>
    <w:p>
      <w:r>
        <w:t>CI已增加威胁样本、隐私契约、受跟踪签名密码及核心文档链接检查，并明确harmony-manual-build-required。当前CI未在远端运行；本地通过不等于远端CI通过。版本号与完整变更日志自动校验尚未建立。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GuardianHub 检测优化与验收报告</dc:title>
  <dc:subject>工程验证与比赛发布条件</dc:subject>
  <dc:creator>GuardianHub 工程验收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