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jc w:val="center"/>
        <w:rPr>
          <w:rFonts w:ascii="宋体" w:hAnsi="宋体" w:eastAsia="宋体" w:cs="宋体"/>
          <w:szCs w:val="24"/>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240" w:afterLines="100" w:line="240" w:lineRule="auto"/>
        <w:ind w:firstLine="0" w:firstLineChars="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line="240" w:lineRule="auto"/>
        <w:ind w:firstLine="0" w:firstLineChars="0"/>
        <w:jc w:val="center"/>
        <w:rPr>
          <w:rFonts w:ascii="黑体" w:hAnsi="黑体" w:eastAsia="黑体"/>
          <w:color w:val="FFFFFF" w:themeColor="background1"/>
          <w:kern w:val="2"/>
          <w:sz w:val="72"/>
          <w:szCs w:val="20"/>
          <w14:textFill>
            <w14:no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center"/>
        <w:rPr>
          <w:rFonts w:ascii="黑体" w:hAnsi="黑体" w:eastAsia="黑体"/>
          <w:sz w:val="52"/>
          <w:szCs w:val="52"/>
        </w:rPr>
      </w:pPr>
      <w:bookmarkStart w:id="0" w:name="_Toc71809420"/>
      <w:bookmarkStart w:id="1" w:name="_Toc71811492"/>
      <w:bookmarkStart w:id="2" w:name="_Toc71811375"/>
      <w:r>
        <w:rPr>
          <w:rStyle w:val="18"/>
          <w:rFonts w:hint="eastAsia" w:ascii="黑体" w:hAnsi="黑体" w:eastAsia="黑体" w:cs="黑体"/>
          <w:i w:val="0"/>
          <w:iCs w:val="0"/>
          <w:caps w:val="0"/>
          <w:color w:val="111111"/>
          <w:spacing w:val="0"/>
          <w:sz w:val="52"/>
          <w:szCs w:val="52"/>
        </w:rPr>
        <w:t>沿空留巷采煤工艺防灭火技术研究</w:t>
      </w:r>
      <w:bookmarkEnd w:id="0"/>
      <w:bookmarkEnd w:id="1"/>
      <w:bookmarkEnd w:id="2"/>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keepNext w:val="0"/>
        <w:keepLines w:val="0"/>
        <w:pageBreakBefore w:val="0"/>
        <w:widowControl w:val="0"/>
        <w:tabs>
          <w:tab w:val="left" w:leader="underscore" w:pos="3150"/>
        </w:tabs>
        <w:kinsoku/>
        <w:wordWrap/>
        <w:overflowPunct/>
        <w:topLinePunct w:val="0"/>
        <w:autoSpaceDE/>
        <w:autoSpaceDN/>
        <w:bidi w:val="0"/>
        <w:adjustRightInd/>
        <w:snapToGrid/>
        <w:spacing w:line="360" w:lineRule="auto"/>
        <w:ind w:firstLine="2752" w:firstLineChars="860"/>
        <w:textAlignment w:val="auto"/>
        <w:rPr>
          <w:rFonts w:hint="default" w:ascii="仿宋" w:hAnsi="仿宋" w:eastAsia="仿宋"/>
          <w:kern w:val="2"/>
          <w:sz w:val="32"/>
          <w:szCs w:val="32"/>
          <w:u w:val="none"/>
          <w:lang w:val="en-US" w:eastAsia="zh-CN"/>
        </w:rPr>
      </w:pPr>
      <w:r>
        <w:rPr>
          <w:rFonts w:hint="eastAsia" w:ascii="仿宋" w:hAnsi="仿宋"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rPr>
          <w:rFonts w:hint="eastAsia" w:eastAsia="仿宋"/>
          <w:color w:val="000000"/>
          <w:kern w:val="2"/>
          <w:sz w:val="32"/>
          <w:szCs w:val="32"/>
          <w:u w:val="single"/>
          <w:lang w:val="en-US" w:eastAsia="zh-CN"/>
        </w:rPr>
      </w:pPr>
      <w:r>
        <w:rPr>
          <w:rFonts w:hint="eastAsia" w:ascii="仿宋" w:hAnsi="仿宋" w:eastAsia="仿宋"/>
          <w:kern w:val="2"/>
          <w:sz w:val="32"/>
          <w:szCs w:val="32"/>
        </w:rPr>
        <w:t>学    号</w:t>
      </w:r>
      <w:r>
        <w:rPr>
          <w:rFonts w:hint="eastAsia" w:ascii="仿宋" w:hAnsi="仿宋" w:eastAsia="仿宋"/>
          <w:kern w:val="2"/>
          <w:sz w:val="32"/>
          <w:szCs w:val="32"/>
          <w:lang w:val="en-US" w:eastAsia="zh-CN"/>
        </w:rPr>
        <w:t xml:space="preserve">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201914400313</w:t>
      </w:r>
      <w:r>
        <w:rPr>
          <w:rFonts w:hint="eastAsia" w:ascii="仿宋" w:hAnsi="仿宋" w:eastAsia="仿宋"/>
          <w:kern w:val="2"/>
          <w:sz w:val="32"/>
          <w:szCs w:val="32"/>
          <w:u w:val="single"/>
          <w:lang w:val="en-US" w:eastAsia="zh-CN"/>
        </w:rPr>
        <w:tab/>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矿业工程学院</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张九零</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 xml:space="preserve">    </w:t>
      </w:r>
    </w:p>
    <w:p>
      <w:pPr>
        <w:widowControl w:val="0"/>
        <w:spacing w:line="240" w:lineRule="auto"/>
        <w:ind w:firstLine="2640" w:firstLineChars="600"/>
        <w:rPr>
          <w:rFonts w:eastAsia="华文新魏"/>
          <w:kern w:val="2"/>
          <w:sz w:val="44"/>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月</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日</w:t>
      </w:r>
    </w:p>
    <w:p>
      <w:pPr>
        <w:spacing w:line="374" w:lineRule="exact"/>
        <w:ind w:right="364" w:firstLine="720"/>
        <w:rPr>
          <w:rFonts w:eastAsia="华文新魏"/>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upperRoman" w:start="7" w:chapStyle="1"/>
          <w:cols w:space="425" w:num="1"/>
          <w:docGrid w:linePitch="326" w:charSpace="0"/>
        </w:sectPr>
      </w:pPr>
    </w:p>
    <w:p>
      <w:pPr>
        <w:ind w:firstLine="0" w:firstLineChars="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0" w:firstLineChars="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bookmarkStart w:id="3" w:name="_Toc14267545"/>
      <w:bookmarkStart w:id="4" w:name="_Toc8308252"/>
      <w:bookmarkStart w:id="5" w:name="_Toc71811494"/>
      <w:bookmarkStart w:id="6" w:name="_Toc71809422"/>
      <w:bookmarkStart w:id="7" w:name="_Toc71811377"/>
      <w:bookmarkStart w:id="8" w:name="_Toc8307344"/>
      <w:bookmarkStart w:id="9" w:name="_Toc8300437"/>
      <w:r>
        <w:rPr>
          <w:rFonts w:hint="eastAsia" w:ascii="黑体" w:hAnsi="黑体" w:eastAsia="黑体"/>
          <w:sz w:val="30"/>
          <w:szCs w:val="30"/>
        </w:rPr>
        <w:t xml:space="preserve">摘  </w:t>
      </w:r>
      <w:r>
        <w:rPr>
          <w:rFonts w:ascii="黑体" w:hAnsi="黑体" w:eastAsia="黑体"/>
          <w:sz w:val="30"/>
          <w:szCs w:val="30"/>
        </w:rPr>
        <w:t xml:space="preserve">  </w:t>
      </w:r>
      <w:r>
        <w:rPr>
          <w:rFonts w:hint="eastAsia" w:ascii="黑体" w:hAnsi="黑体" w:eastAsia="黑体"/>
          <w:sz w:val="30"/>
          <w:szCs w:val="30"/>
        </w:rPr>
        <w:t>要</w:t>
      </w:r>
      <w:bookmarkEnd w:id="3"/>
      <w:bookmarkEnd w:id="4"/>
      <w:bookmarkEnd w:id="5"/>
      <w:bookmarkEnd w:id="6"/>
      <w:bookmarkEnd w:id="7"/>
      <w:bookmarkEnd w:id="8"/>
      <w:bookmarkEnd w:id="9"/>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宋体" w:hAnsi="宋体" w:eastAsia="宋体" w:cs="宋体"/>
          <w:i w:val="0"/>
          <w:iCs w:val="0"/>
          <w:caps w:val="0"/>
          <w:color w:val="111111"/>
          <w:spacing w:val="0"/>
          <w:sz w:val="24"/>
          <w:szCs w:val="24"/>
        </w:rPr>
      </w:pPr>
      <w:r>
        <w:rPr>
          <w:rFonts w:hint="eastAsia" w:ascii="宋体" w:hAnsi="宋体" w:eastAsia="宋体" w:cs="宋体"/>
          <w:i w:val="0"/>
          <w:iCs w:val="0"/>
          <w:caps w:val="0"/>
          <w:color w:val="111111"/>
          <w:spacing w:val="0"/>
          <w:sz w:val="24"/>
          <w:szCs w:val="24"/>
        </w:rPr>
        <w:t>沿空留巷采煤工艺是一种无煤柱开采技术，可以最大限度回收资源，避免煤体损失。但是，沿空留巷工作面也存在自然发火的风险，需要采取有效的防灭火措施。本课题通过数值模拟、理论分析等手段，研究了沿空留巷自燃三带分布规律和地应力分布变化对火灾诱发的影响。在此基础上，提出了回采期间的综合防灭火技术方案，包括加固墙体堵塞漏风、开放式注氮、改变通风系统、加快推进速度等措施，并分析了其效果和优劣。本课题旨在为沿空留巷技术在易燃煤层中的安全推广提供理论依据和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leftChars="0" w:right="0" w:firstLine="0" w:firstLineChars="0"/>
        <w:textAlignment w:val="auto"/>
        <w:rPr>
          <w:rFonts w:eastAsia="宋体"/>
          <w:kern w:val="2"/>
          <w:szCs w:val="20"/>
        </w:rPr>
      </w:pPr>
      <w:r>
        <w:rPr>
          <w:rFonts w:hint="eastAsia" w:ascii="黑体" w:hAnsi="黑体" w:eastAsia="黑体" w:cs="黑体"/>
          <w:i w:val="0"/>
          <w:iCs w:val="0"/>
          <w:caps w:val="0"/>
          <w:color w:val="111111"/>
          <w:spacing w:val="0"/>
          <w:sz w:val="24"/>
          <w:szCs w:val="24"/>
        </w:rPr>
        <w:t>关键词</w:t>
      </w:r>
      <w:r>
        <w:rPr>
          <w:rFonts w:hint="eastAsia" w:ascii="宋体" w:hAnsi="宋体" w:eastAsia="宋体" w:cs="宋体"/>
          <w:i w:val="0"/>
          <w:iCs w:val="0"/>
          <w:caps w:val="0"/>
          <w:color w:val="111111"/>
          <w:spacing w:val="0"/>
          <w:sz w:val="24"/>
          <w:szCs w:val="24"/>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p>
    <w:p>
      <w:pPr>
        <w:spacing w:line="240" w:lineRule="auto"/>
        <w:ind w:firstLine="0" w:firstLineChars="0"/>
        <w:jc w:val="left"/>
        <w:rPr>
          <w:rFonts w:ascii="Arial" w:hAnsi="Arial" w:eastAsia="Arial Unicode MS" w:cs="Arial"/>
          <w:color w:val="FFFFFF" w:themeColor="background1"/>
          <w:kern w:val="2"/>
          <w:sz w:val="30"/>
          <w:szCs w:val="30"/>
          <w14:textFill>
            <w14:noFill/>
          </w14:textFill>
        </w:rPr>
        <w:sectPr>
          <w:footerReference r:id="rId9"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spacing w:line="240" w:lineRule="auto"/>
        <w:ind w:firstLine="0" w:firstLineChars="0"/>
        <w:jc w:val="left"/>
        <w:rPr>
          <w:rFonts w:ascii="Arial" w:hAnsi="Arial" w:eastAsia="Arial Unicode MS" w:cs="Arial"/>
          <w:kern w:val="2"/>
          <w:sz w:val="30"/>
          <w:szCs w:val="30"/>
        </w:r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default" w:ascii="Arial" w:hAnsi="Arial" w:eastAsia="黑体" w:cs="Arial"/>
          <w:sz w:val="30"/>
          <w:szCs w:val="30"/>
        </w:rPr>
      </w:pPr>
      <w:bookmarkStart w:id="10" w:name="_Toc71811495"/>
      <w:bookmarkStart w:id="11" w:name="_Toc71809423"/>
      <w:bookmarkStart w:id="12" w:name="_Toc71811378"/>
      <w:r>
        <w:rPr>
          <w:rFonts w:hint="default"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t>Gobside entry retaining coal mining technology is a coal pillar-free mining technology, which can maximize the recovery of resources and avoid the loss of coal body. However, there is also a risk of spontaneous fire at the gob-side entry retaining face, and effective fire prevention and extinguishing measures need to be taken. This topic studies the distribution law of spontaneous combustion in three zones along gob-side entry retention and the influence of ground stress distribution changes on fire induction by means of numerical simulation and theoretical analysis. On this basis, a comprehensive fire prevention and extinguishing technical scheme during mining is proposed, including measures such as strengthening the wall to block air leakage, open nitrogen injection, changing the ventilation system, and accelerating the speed of advancement, etc., and its effects, advantages and disadvantages are analyzed. This subject aims to provide theoretical basis and technical support for the safe promotion of gob-side entry retaining technology in flammable coal seams.</w:t>
      </w:r>
    </w:p>
    <w:p>
      <w:pPr>
        <w:keepNext w:val="0"/>
        <w:keepLines w:val="0"/>
        <w:pageBreakBefore w:val="0"/>
        <w:widowControl w:val="0"/>
        <w:kinsoku/>
        <w:wordWrap/>
        <w:overflowPunct/>
        <w:topLinePunct w:val="0"/>
        <w:autoSpaceDE/>
        <w:autoSpaceDN/>
        <w:bidi w:val="0"/>
        <w:adjustRightInd/>
        <w:snapToGrid/>
        <w:spacing w:line="400" w:lineRule="atLeast"/>
        <w:ind w:firstLine="0" w:firstLineChars="0"/>
        <w:textAlignment w:val="auto"/>
        <w:rPr>
          <w:rFonts w:eastAsia="宋体"/>
          <w:kern w:val="2"/>
          <w:sz w:val="21"/>
          <w:szCs w:val="20"/>
        </w:rPr>
      </w:pPr>
      <w:r>
        <w:rPr>
          <w:rFonts w:hint="default" w:ascii="Times New Roman" w:hAnsi="Times New Roman" w:eastAsia="宋体" w:cs="Times New Roman"/>
          <w:b/>
          <w:bCs/>
          <w:kern w:val="2"/>
          <w:sz w:val="24"/>
          <w:szCs w:val="24"/>
        </w:rPr>
        <w:t>Key words</w:t>
      </w:r>
      <w:r>
        <w:rPr>
          <w:rFonts w:hint="eastAsia" w:eastAsia="宋体"/>
          <w:b/>
          <w:bCs/>
          <w:kern w:val="2"/>
          <w:szCs w:val="20"/>
        </w:rPr>
        <w:t>:</w:t>
      </w:r>
      <w:r>
        <w:rPr>
          <w:rFonts w:hint="default" w:ascii="Times New Roman" w:hAnsi="Times New Roman" w:eastAsia="宋体" w:cs="Times New Roman"/>
          <w:kern w:val="2"/>
          <w:sz w:val="24"/>
          <w:szCs w:val="24"/>
          <w:lang w:val="en-US" w:eastAsia="zh-CN"/>
        </w:rPr>
        <w:t xml:space="preserve"> gob-side entry retention; goaf; spontaneous fire; fire prevention and extinguishing</w:t>
      </w: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szCs w:val="24"/>
          <w:lang w:val="en-US" w:eastAsia="zh-CN" w:bidi="ar-SA"/>
        </w:rPr>
        <w:id w:val="1474653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70" w:name="_GoBack"/>
          <w:bookmarkEnd w:id="70"/>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_Toc24388 </w:instrText>
          </w:r>
          <w:r>
            <w:fldChar w:fldCharType="separate"/>
          </w:r>
          <w:r>
            <w:rPr>
              <w:rFonts w:hint="eastAsia" w:ascii="黑体" w:hAnsi="黑体" w:eastAsia="黑体" w:cs="黑体"/>
              <w:kern w:val="44"/>
              <w:szCs w:val="30"/>
              <w:lang w:val="en-US" w:eastAsia="zh-CN" w:bidi="ar-SA"/>
            </w:rPr>
            <w:t>第1章 绪论</w:t>
          </w:r>
          <w:r>
            <w:tab/>
          </w:r>
          <w:r>
            <w:fldChar w:fldCharType="begin"/>
          </w:r>
          <w:r>
            <w:instrText xml:space="preserve"> PAGEREF _Toc24388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_Toc9787 </w:instrText>
          </w:r>
          <w:r>
            <w:fldChar w:fldCharType="separate"/>
          </w:r>
          <w:r>
            <w:rPr>
              <w:rFonts w:hint="eastAsia" w:ascii="黑体" w:hAnsi="黑体" w:eastAsia="黑体" w:cs="黑体"/>
              <w:szCs w:val="28"/>
            </w:rPr>
            <w:t>1.1 研究背景和意义</w:t>
          </w:r>
          <w:r>
            <w:tab/>
          </w:r>
          <w:r>
            <w:fldChar w:fldCharType="begin"/>
          </w:r>
          <w:r>
            <w:instrText xml:space="preserve"> PAGEREF _Toc9787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_Toc23375 </w:instrText>
          </w:r>
          <w:r>
            <w:fldChar w:fldCharType="separate"/>
          </w:r>
          <w:r>
            <w:rPr>
              <w:rFonts w:hint="default" w:ascii="黑体" w:hAnsi="黑体" w:eastAsia="黑体" w:cs="黑体"/>
              <w:szCs w:val="28"/>
            </w:rPr>
            <w:t>1.2 国内外研究现状</w:t>
          </w:r>
          <w:r>
            <w:tab/>
          </w:r>
          <w:r>
            <w:fldChar w:fldCharType="begin"/>
          </w:r>
          <w:r>
            <w:instrText xml:space="preserve"> PAGEREF _Toc23375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_Toc23582 </w:instrText>
          </w:r>
          <w:r>
            <w:fldChar w:fldCharType="separate"/>
          </w:r>
          <w:r>
            <w:rPr>
              <w:rFonts w:hint="eastAsia" w:ascii="黑体" w:hAnsi="黑体" w:eastAsia="黑体" w:cs="黑体"/>
              <w:szCs w:val="24"/>
              <w:lang w:val="en-US" w:eastAsia="zh-CN"/>
            </w:rPr>
            <w:t xml:space="preserve">1.2.1 </w:t>
          </w:r>
          <w:r>
            <w:rPr>
              <w:rFonts w:hint="eastAsia" w:ascii="黑体" w:hAnsi="黑体" w:eastAsia="黑体" w:cs="黑体"/>
              <w:szCs w:val="24"/>
            </w:rPr>
            <w:t>沿空留巷技术</w:t>
          </w:r>
          <w:r>
            <w:rPr>
              <w:rFonts w:hint="eastAsia" w:ascii="黑体" w:hAnsi="黑体" w:eastAsia="黑体" w:cs="黑体"/>
              <w:szCs w:val="24"/>
              <w:lang w:val="en-US" w:eastAsia="zh-CN"/>
            </w:rPr>
            <w:t>的发展现状</w:t>
          </w:r>
          <w:r>
            <w:tab/>
          </w:r>
          <w:r>
            <w:fldChar w:fldCharType="begin"/>
          </w:r>
          <w:r>
            <w:instrText xml:space="preserve"> PAGEREF _Toc23582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_Toc32700 </w:instrText>
          </w:r>
          <w:r>
            <w:fldChar w:fldCharType="separate"/>
          </w:r>
          <w:r>
            <w:rPr>
              <w:rFonts w:hint="eastAsia" w:ascii="黑体" w:hAnsi="黑体" w:eastAsia="黑体" w:cs="黑体"/>
              <w:szCs w:val="24"/>
              <w:lang w:val="en-US" w:eastAsia="zh-CN"/>
            </w:rPr>
            <w:t>1.2.2 沿空留巷采煤工艺防灭火技术的发展现状</w:t>
          </w:r>
          <w:r>
            <w:tab/>
          </w:r>
          <w:r>
            <w:fldChar w:fldCharType="begin"/>
          </w:r>
          <w:r>
            <w:instrText xml:space="preserve"> PAGEREF _Toc32700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_Toc20524 </w:instrText>
          </w:r>
          <w:r>
            <w:fldChar w:fldCharType="separate"/>
          </w:r>
          <w:r>
            <w:rPr>
              <w:rFonts w:hint="default" w:ascii="黑体" w:hAnsi="黑体" w:eastAsia="黑体" w:cs="黑体"/>
              <w:szCs w:val="28"/>
            </w:rPr>
            <w:t>1.3 本文的主要研究内容</w:t>
          </w:r>
          <w:r>
            <w:tab/>
          </w:r>
          <w:r>
            <w:fldChar w:fldCharType="begin"/>
          </w:r>
          <w:r>
            <w:instrText xml:space="preserve"> PAGEREF _Toc20524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_Toc25774 </w:instrText>
          </w:r>
          <w:r>
            <w:fldChar w:fldCharType="separate"/>
          </w:r>
          <w:r>
            <w:rPr>
              <w:rFonts w:hint="eastAsia" w:ascii="黑体" w:hAnsi="黑体" w:eastAsia="黑体" w:cs="黑体"/>
              <w:szCs w:val="28"/>
              <w:lang w:val="en-US" w:eastAsia="zh-CN"/>
            </w:rPr>
            <w:t>1.4 技术路线图</w:t>
          </w:r>
          <w:r>
            <w:tab/>
          </w:r>
          <w:r>
            <w:fldChar w:fldCharType="begin"/>
          </w:r>
          <w:r>
            <w:instrText xml:space="preserve"> PAGEREF _Toc25774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_Toc11940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2</w:t>
          </w:r>
          <w:r>
            <w:rPr>
              <w:rFonts w:hint="default" w:ascii="黑体" w:hAnsi="黑体" w:eastAsia="黑体" w:cs="黑体"/>
              <w:kern w:val="44"/>
              <w:szCs w:val="30"/>
              <w:lang w:val="en-US" w:eastAsia="zh-CN" w:bidi="ar-SA"/>
            </w:rPr>
            <w:t>章 沿空留巷自然发火特点和规律分析</w:t>
          </w:r>
          <w:r>
            <w:tab/>
          </w:r>
          <w:r>
            <w:fldChar w:fldCharType="begin"/>
          </w:r>
          <w:r>
            <w:instrText xml:space="preserve"> PAGEREF _Toc11940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_Toc12158 </w:instrText>
          </w:r>
          <w:r>
            <w:fldChar w:fldCharType="separate"/>
          </w:r>
          <w:r>
            <w:rPr>
              <w:rFonts w:hint="eastAsia" w:ascii="黑体" w:hAnsi="黑体" w:eastAsia="黑体" w:cs="黑体"/>
              <w:szCs w:val="28"/>
              <w:lang w:val="en-US" w:eastAsia="zh-CN"/>
            </w:rPr>
            <w:t>2.1 沿空留巷自然发火机理</w:t>
          </w:r>
          <w:r>
            <w:tab/>
          </w:r>
          <w:r>
            <w:fldChar w:fldCharType="begin"/>
          </w:r>
          <w:r>
            <w:instrText xml:space="preserve"> PAGEREF _Toc12158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_Toc28968 </w:instrText>
          </w:r>
          <w:r>
            <w:fldChar w:fldCharType="separate"/>
          </w:r>
          <w:r>
            <w:rPr>
              <w:rFonts w:hint="default" w:ascii="黑体" w:hAnsi="黑体" w:eastAsia="黑体" w:cs="黑体"/>
              <w:szCs w:val="28"/>
              <w:lang w:val="en-US" w:eastAsia="zh-CN"/>
            </w:rPr>
            <w:t>2.2 沿空留巷自然发火影响因素</w:t>
          </w:r>
          <w:r>
            <w:tab/>
          </w:r>
          <w:r>
            <w:fldChar w:fldCharType="begin"/>
          </w:r>
          <w:r>
            <w:instrText xml:space="preserve"> PAGEREF _Toc28968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_Toc32307 </w:instrText>
          </w:r>
          <w:r>
            <w:fldChar w:fldCharType="separate"/>
          </w:r>
          <w:r>
            <w:rPr>
              <w:rFonts w:hint="default" w:ascii="黑体" w:hAnsi="黑体" w:eastAsia="黑体" w:cs="黑体"/>
              <w:szCs w:val="28"/>
              <w:lang w:val="en-US" w:eastAsia="zh-CN"/>
            </w:rPr>
            <w:t>2.3 沿空留巷自然发火三带分布规律</w:t>
          </w:r>
          <w:r>
            <w:tab/>
          </w:r>
          <w:r>
            <w:fldChar w:fldCharType="begin"/>
          </w:r>
          <w:r>
            <w:instrText xml:space="preserve"> PAGEREF _Toc32307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_Toc17644 </w:instrText>
          </w:r>
          <w:r>
            <w:fldChar w:fldCharType="separate"/>
          </w:r>
          <w:r>
            <w:rPr>
              <w:rFonts w:hint="default" w:ascii="黑体" w:hAnsi="黑体" w:eastAsia="黑体" w:cs="黑体"/>
              <w:szCs w:val="28"/>
              <w:lang w:val="en-US" w:eastAsia="zh-CN"/>
            </w:rPr>
            <w:t>2.4 沿空留巷自然发火预兆参数确定</w:t>
          </w:r>
          <w:r>
            <w:tab/>
          </w:r>
          <w:r>
            <w:fldChar w:fldCharType="begin"/>
          </w:r>
          <w:r>
            <w:instrText xml:space="preserve"> PAGEREF _Toc17644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_Toc15211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3</w:t>
          </w:r>
          <w:r>
            <w:rPr>
              <w:rFonts w:hint="default" w:ascii="黑体" w:hAnsi="黑体" w:eastAsia="黑体" w:cs="黑体"/>
              <w:kern w:val="44"/>
              <w:szCs w:val="30"/>
              <w:lang w:val="en-US" w:eastAsia="zh-CN" w:bidi="ar-SA"/>
            </w:rPr>
            <w:t>章 数值模拟和试验验证</w:t>
          </w:r>
          <w:r>
            <w:tab/>
          </w:r>
          <w:r>
            <w:fldChar w:fldCharType="begin"/>
          </w:r>
          <w:r>
            <w:instrText xml:space="preserve"> PAGEREF _Toc15211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_Toc31583 </w:instrText>
          </w:r>
          <w:r>
            <w:fldChar w:fldCharType="separate"/>
          </w:r>
          <w:r>
            <w:rPr>
              <w:rFonts w:hint="eastAsia" w:ascii="黑体" w:hAnsi="黑体" w:eastAsia="黑体" w:cs="黑体"/>
              <w:bCs w:val="0"/>
              <w:szCs w:val="28"/>
              <w:lang w:val="en-US" w:eastAsia="zh-CN"/>
            </w:rPr>
            <w:t>3.1</w:t>
          </w:r>
          <w:r>
            <w:rPr>
              <w:rFonts w:hint="eastAsia" w:ascii="黑体" w:hAnsi="黑体" w:eastAsia="黑体" w:cs="黑体"/>
              <w:szCs w:val="28"/>
              <w:lang w:val="en-US" w:eastAsia="zh-CN"/>
            </w:rPr>
            <w:t xml:space="preserve"> </w:t>
          </w:r>
          <w:r>
            <w:rPr>
              <w:rFonts w:hint="eastAsia" w:ascii="黑体" w:hAnsi="黑体" w:eastAsia="黑体" w:cs="黑体"/>
              <w:bCs w:val="0"/>
              <w:szCs w:val="28"/>
              <w:lang w:val="en-US" w:eastAsia="zh-CN"/>
            </w:rPr>
            <w:t>计算流体力学</w:t>
          </w:r>
          <w:r>
            <w:tab/>
          </w:r>
          <w:r>
            <w:fldChar w:fldCharType="begin"/>
          </w:r>
          <w:r>
            <w:instrText xml:space="preserve"> PAGEREF _Toc31583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_Toc1756 </w:instrText>
          </w:r>
          <w:r>
            <w:fldChar w:fldCharType="separate"/>
          </w:r>
          <w:r>
            <w:rPr>
              <w:rFonts w:hint="eastAsia" w:ascii="黑体" w:hAnsi="黑体" w:eastAsia="黑体" w:cs="黑体"/>
              <w:bCs w:val="0"/>
              <w:szCs w:val="28"/>
              <w:lang w:val="en-US" w:eastAsia="zh-CN"/>
            </w:rPr>
            <w:t>3.2 流体的运动状态</w:t>
          </w:r>
          <w:r>
            <w:tab/>
          </w:r>
          <w:r>
            <w:fldChar w:fldCharType="begin"/>
          </w:r>
          <w:r>
            <w:instrText xml:space="preserve"> PAGEREF _Toc1756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_Toc8517 </w:instrText>
          </w:r>
          <w:r>
            <w:fldChar w:fldCharType="separate"/>
          </w:r>
          <w:r>
            <w:rPr>
              <w:rFonts w:hint="eastAsia" w:ascii="黑体" w:hAnsi="黑体" w:eastAsia="黑体" w:cs="黑体"/>
              <w:szCs w:val="28"/>
              <w:lang w:val="en-US" w:eastAsia="zh-CN"/>
            </w:rPr>
            <w:t xml:space="preserve">3.3 </w:t>
          </w:r>
          <w:r>
            <w:rPr>
              <w:rFonts w:hint="eastAsia" w:ascii="黑体" w:hAnsi="黑体" w:eastAsia="黑体" w:cs="黑体"/>
              <w:bCs w:val="0"/>
              <w:szCs w:val="28"/>
              <w:lang w:val="en-US" w:eastAsia="zh-CN"/>
            </w:rPr>
            <w:t>建立模型</w:t>
          </w:r>
          <w:r>
            <w:tab/>
          </w:r>
          <w:r>
            <w:fldChar w:fldCharType="begin"/>
          </w:r>
          <w:r>
            <w:instrText xml:space="preserve"> PAGEREF _Toc8517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_Toc32413 </w:instrText>
          </w:r>
          <w:r>
            <w:fldChar w:fldCharType="separate"/>
          </w:r>
          <w:r>
            <w:rPr>
              <w:rFonts w:hint="eastAsia" w:ascii="黑体" w:hAnsi="黑体" w:eastAsia="黑体" w:cs="黑体"/>
              <w:szCs w:val="24"/>
              <w:lang w:val="en-US" w:eastAsia="zh-CN"/>
            </w:rPr>
            <w:t>3.3.1几何模型</w:t>
          </w:r>
          <w:r>
            <w:tab/>
          </w:r>
          <w:r>
            <w:fldChar w:fldCharType="begin"/>
          </w:r>
          <w:r>
            <w:instrText xml:space="preserve"> PAGEREF _Toc32413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_Toc30540 </w:instrText>
          </w:r>
          <w:r>
            <w:fldChar w:fldCharType="separate"/>
          </w:r>
          <w:r>
            <w:rPr>
              <w:rFonts w:hint="eastAsia" w:ascii="黑体" w:hAnsi="黑体" w:eastAsia="黑体" w:cs="黑体"/>
              <w:szCs w:val="24"/>
              <w:lang w:val="en-US" w:eastAsia="zh-CN"/>
            </w:rPr>
            <w:t>3.3.2 物理模型</w:t>
          </w:r>
          <w:r>
            <w:tab/>
          </w:r>
          <w:r>
            <w:fldChar w:fldCharType="begin"/>
          </w:r>
          <w:r>
            <w:instrText xml:space="preserve"> PAGEREF _Toc30540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_Toc22472 </w:instrText>
          </w:r>
          <w:r>
            <w:fldChar w:fldCharType="separate"/>
          </w:r>
          <w:r>
            <w:rPr>
              <w:rFonts w:hint="eastAsia" w:ascii="黑体" w:hAnsi="黑体" w:cs="黑体"/>
              <w:szCs w:val="28"/>
              <w:lang w:val="en-US" w:eastAsia="zh-CN"/>
            </w:rPr>
            <w:t>3</w:t>
          </w:r>
          <w:r>
            <w:rPr>
              <w:rFonts w:hint="default" w:ascii="黑体" w:hAnsi="黑体" w:eastAsia="黑体" w:cs="黑体"/>
              <w:szCs w:val="28"/>
              <w:lang w:val="en-US" w:eastAsia="zh-CN"/>
            </w:rPr>
            <w:t>.</w:t>
          </w:r>
          <w:r>
            <w:rPr>
              <w:rFonts w:hint="eastAsia" w:ascii="黑体" w:hAnsi="黑体" w:cs="黑体"/>
              <w:szCs w:val="28"/>
              <w:lang w:val="en-US" w:eastAsia="zh-CN"/>
            </w:rPr>
            <w:t>4</w:t>
          </w:r>
          <w:r>
            <w:rPr>
              <w:rFonts w:hint="default" w:ascii="黑体" w:hAnsi="黑体" w:eastAsia="黑体" w:cs="黑体"/>
              <w:szCs w:val="28"/>
              <w:lang w:val="en-US" w:eastAsia="zh-CN"/>
            </w:rPr>
            <w:t xml:space="preserve"> 数值模拟结果分析和讨论</w:t>
          </w:r>
          <w:r>
            <w:tab/>
          </w:r>
          <w:r>
            <w:fldChar w:fldCharType="begin"/>
          </w:r>
          <w:r>
            <w:instrText xml:space="preserve"> PAGEREF _Toc22472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_Toc8359 </w:instrText>
          </w:r>
          <w:r>
            <w:fldChar w:fldCharType="separate"/>
          </w:r>
          <w:r>
            <w:rPr>
              <w:rFonts w:hint="eastAsia" w:ascii="黑体" w:hAnsi="黑体" w:eastAsia="黑体" w:cs="黑体"/>
              <w:bCs w:val="0"/>
              <w:szCs w:val="24"/>
              <w:lang w:val="en-US" w:eastAsia="zh-CN"/>
            </w:rPr>
            <w:t>3.4.1 自燃三带分布</w:t>
          </w:r>
          <w:r>
            <w:tab/>
          </w:r>
          <w:r>
            <w:fldChar w:fldCharType="begin"/>
          </w:r>
          <w:r>
            <w:instrText xml:space="preserve"> PAGEREF _Toc8359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_Toc26946 </w:instrText>
          </w:r>
          <w:r>
            <w:fldChar w:fldCharType="separate"/>
          </w:r>
          <w:r>
            <w:rPr>
              <w:rFonts w:hint="eastAsia" w:ascii="黑体" w:hAnsi="黑体" w:eastAsia="黑体" w:cs="黑体"/>
              <w:szCs w:val="24"/>
              <w:lang w:val="en-US" w:eastAsia="zh-CN"/>
            </w:rPr>
            <w:t>3.4.2 沿空留巷自燃三带分布</w:t>
          </w:r>
          <w:r>
            <w:tab/>
          </w:r>
          <w:r>
            <w:fldChar w:fldCharType="begin"/>
          </w:r>
          <w:r>
            <w:instrText xml:space="preserve"> PAGEREF _Toc26946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_Toc16186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4</w:t>
          </w:r>
          <w:r>
            <w:rPr>
              <w:rFonts w:hint="default" w:ascii="黑体" w:hAnsi="黑体" w:eastAsia="黑体" w:cs="黑体"/>
              <w:kern w:val="44"/>
              <w:szCs w:val="30"/>
              <w:lang w:val="en-US" w:eastAsia="zh-CN" w:bidi="ar-SA"/>
            </w:rPr>
            <w:t>章 沿空留巷综合防灭火技术方案设计</w:t>
          </w:r>
          <w:r>
            <w:tab/>
          </w:r>
          <w:r>
            <w:fldChar w:fldCharType="begin"/>
          </w:r>
          <w:r>
            <w:instrText xml:space="preserve"> PAGEREF _Toc16186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_Toc8615 </w:instrText>
          </w:r>
          <w:r>
            <w:fldChar w:fldCharType="separate"/>
          </w:r>
          <w:r>
            <w:rPr>
              <w:rFonts w:hint="eastAsia" w:ascii="黑体" w:hAnsi="黑体" w:cs="黑体"/>
              <w:szCs w:val="28"/>
              <w:lang w:val="en-US" w:eastAsia="zh-CN"/>
            </w:rPr>
            <w:t>4</w:t>
          </w:r>
          <w:r>
            <w:rPr>
              <w:rFonts w:hint="eastAsia" w:ascii="黑体" w:hAnsi="黑体" w:eastAsia="黑体" w:cs="黑体"/>
              <w:szCs w:val="28"/>
              <w:lang w:val="en-US" w:eastAsia="zh-CN"/>
            </w:rPr>
            <w:t>.1 漏风控制技术</w:t>
          </w:r>
          <w:r>
            <w:tab/>
          </w:r>
          <w:r>
            <w:fldChar w:fldCharType="begin"/>
          </w:r>
          <w:r>
            <w:instrText xml:space="preserve"> PAGEREF _Toc8615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_Toc12882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.2 注氮降温技术</w:t>
          </w:r>
          <w:r>
            <w:tab/>
          </w:r>
          <w:r>
            <w:fldChar w:fldCharType="begin"/>
          </w:r>
          <w:r>
            <w:instrText xml:space="preserve"> PAGEREF _Toc12882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_Toc27051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.3 注浆密闭技术</w:t>
          </w:r>
          <w:r>
            <w:tab/>
          </w:r>
          <w:r>
            <w:fldChar w:fldCharType="begin"/>
          </w:r>
          <w:r>
            <w:instrText xml:space="preserve"> PAGEREF _Toc27051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_Toc5126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.4 阻化剂喷洒技术</w:t>
          </w:r>
          <w:r>
            <w:tab/>
          </w:r>
          <w:r>
            <w:fldChar w:fldCharType="begin"/>
          </w:r>
          <w:r>
            <w:instrText xml:space="preserve"> PAGEREF _Toc5126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_Toc15984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.5 监测预警技术</w:t>
          </w:r>
          <w:r>
            <w:tab/>
          </w:r>
          <w:r>
            <w:fldChar w:fldCharType="begin"/>
          </w:r>
          <w:r>
            <w:instrText xml:space="preserve"> PAGEREF _Toc15984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_Toc12978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5</w:t>
          </w:r>
          <w:r>
            <w:rPr>
              <w:rFonts w:hint="default" w:ascii="黑体" w:hAnsi="黑体" w:eastAsia="黑体" w:cs="黑体"/>
              <w:kern w:val="44"/>
              <w:szCs w:val="30"/>
              <w:lang w:val="en-US" w:eastAsia="zh-CN" w:bidi="ar-SA"/>
            </w:rPr>
            <w:t>章 结论与展望</w:t>
          </w:r>
          <w:r>
            <w:tab/>
          </w:r>
          <w:r>
            <w:fldChar w:fldCharType="begin"/>
          </w:r>
          <w:r>
            <w:instrText xml:space="preserve"> PAGEREF _Toc12978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_Toc27552 </w:instrText>
          </w:r>
          <w:r>
            <w:fldChar w:fldCharType="separate"/>
          </w:r>
          <w:r>
            <w:rPr>
              <w:rFonts w:hint="eastAsia" w:ascii="黑体" w:hAnsi="黑体" w:eastAsia="黑体" w:cs="黑体"/>
              <w:kern w:val="44"/>
              <w:szCs w:val="30"/>
              <w:lang w:val="en-US" w:eastAsia="zh-CN" w:bidi="ar-SA"/>
            </w:rPr>
            <w:t>参考文献</w:t>
          </w:r>
          <w:r>
            <w:tab/>
          </w:r>
          <w:r>
            <w:fldChar w:fldCharType="begin"/>
          </w:r>
          <w:r>
            <w:instrText xml:space="preserve"> PAGEREF _Toc27552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_Toc28454 </w:instrText>
          </w:r>
          <w:r>
            <w:fldChar w:fldCharType="separate"/>
          </w:r>
          <w:r>
            <w:rPr>
              <w:rFonts w:hint="default" w:ascii="黑体" w:hAnsi="黑体" w:eastAsia="黑体" w:cs="黑体"/>
              <w:kern w:val="44"/>
              <w:szCs w:val="30"/>
              <w:lang w:val="en-US" w:eastAsia="zh-CN" w:bidi="ar-SA"/>
            </w:rPr>
            <w:t>致谢</w:t>
          </w:r>
          <w:r>
            <w:tab/>
          </w:r>
          <w:r>
            <w:fldChar w:fldCharType="begin"/>
          </w:r>
          <w:r>
            <w:instrText xml:space="preserve"> PAGEREF _Toc28454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_Toc19282 </w:instrText>
          </w:r>
          <w:r>
            <w:fldChar w:fldCharType="separate"/>
          </w:r>
          <w:r>
            <w:rPr>
              <w:rFonts w:hint="eastAsia" w:ascii="黑体" w:hAnsi="黑体" w:eastAsia="黑体" w:cs="黑体"/>
              <w:kern w:val="44"/>
              <w:szCs w:val="30"/>
              <w:lang w:val="en-US" w:eastAsia="zh-CN" w:bidi="ar-SA"/>
            </w:rPr>
            <w:t>附录</w:t>
          </w:r>
          <w:r>
            <w:tab/>
          </w:r>
          <w:r>
            <w:fldChar w:fldCharType="begin"/>
          </w:r>
          <w:r>
            <w:instrText xml:space="preserve"> PAGEREF _Toc19282 \h </w:instrText>
          </w:r>
          <w:r>
            <w:fldChar w:fldCharType="separate"/>
          </w:r>
          <w:r>
            <w:t>22</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13" w:name="_Toc24388"/>
      <w:r>
        <w:rPr>
          <w:rFonts w:hint="eastAsia" w:ascii="黑体" w:hAnsi="黑体" w:eastAsia="黑体" w:cs="黑体"/>
          <w:b/>
          <w:kern w:val="44"/>
          <w:sz w:val="30"/>
          <w:szCs w:val="30"/>
          <w:lang w:val="en-US" w:eastAsia="zh-CN" w:bidi="ar-SA"/>
        </w:rPr>
        <w:t>第1章 绪论</w:t>
      </w:r>
      <w:bookmarkEnd w:id="13"/>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eastAsia" w:ascii="黑体" w:hAnsi="黑体" w:eastAsia="黑体" w:cs="黑体"/>
          <w:sz w:val="28"/>
          <w:szCs w:val="28"/>
        </w:rPr>
      </w:pPr>
      <w:bookmarkStart w:id="14" w:name="_Toc9787"/>
      <w:r>
        <w:rPr>
          <w:rFonts w:hint="eastAsia" w:ascii="黑体" w:hAnsi="黑体" w:eastAsia="黑体" w:cs="黑体"/>
          <w:sz w:val="28"/>
          <w:szCs w:val="28"/>
        </w:rPr>
        <w:t>1.1 研究背景和意义</w:t>
      </w:r>
      <w:bookmarkEnd w:id="1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 \o "康志鹏, 2021 #3"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沿空留巷具有以下几点优点：</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沿空留巷可以完全取消区段煤柱，提高采出率。</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沿空留巷可以降低掘进率，缩短采区的准备时间。</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沿空留巷可以减少成本，节约资源。</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"_ENREF_16" \o "张飞, 2014 #14"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"_ENREF_17" \o "张志义, 2014 #12"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"_ENREF_20" \o "周占松, 2022 #1"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"_ENREF_5" \o "张智强, 2012 #17"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"_ENREF_4" \o "万岩, 2012 #16"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"_ENREF_11" \o "吴存良, 2008 #22"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"_ENREF_12" \o "阚甲广, 2009 #21"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Pr>
        <w:rPr>
          <w:rFonts w:hint="eastAsia"/>
        </w:rPr>
      </w:pP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5" w:name="_Toc23375"/>
      <w:r>
        <w:rPr>
          <w:rFonts w:hint="default" w:ascii="黑体" w:hAnsi="黑体" w:eastAsia="黑体" w:cs="黑体"/>
          <w:sz w:val="28"/>
          <w:szCs w:val="28"/>
        </w:rPr>
        <w:t>1.2 国内外研究现状</w:t>
      </w:r>
      <w:bookmarkEnd w:id="15"/>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6" w:name="_Toc23582"/>
      <w:r>
        <w:rPr>
          <w:rFonts w:hint="eastAsia" w:ascii="黑体" w:hAnsi="黑体" w:eastAsia="黑体" w:cs="黑体"/>
          <w:sz w:val="24"/>
          <w:szCs w:val="24"/>
          <w:lang w:val="en-US" w:eastAsia="zh-CN"/>
        </w:rPr>
        <w:t xml:space="preserve">1.2.1 </w:t>
      </w:r>
      <w:r>
        <w:rPr>
          <w:rFonts w:hint="eastAsia" w:ascii="黑体" w:hAnsi="黑体" w:eastAsia="黑体" w:cs="黑体"/>
          <w:sz w:val="24"/>
          <w:szCs w:val="24"/>
        </w:rPr>
        <w:t>沿空留巷技术</w:t>
      </w:r>
      <w:r>
        <w:rPr>
          <w:rFonts w:hint="eastAsia" w:ascii="黑体" w:hAnsi="黑体" w:eastAsia="黑体" w:cs="黑体"/>
          <w:sz w:val="24"/>
          <w:szCs w:val="24"/>
          <w:lang w:val="en-US" w:eastAsia="zh-CN"/>
        </w:rPr>
        <w:t>的发展现状</w:t>
      </w:r>
      <w:bookmarkEnd w:id="16"/>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"_ENREF_3" \o "费旭敏, 2008 #23"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7" w:name="_Toc32700"/>
      <w:r>
        <w:rPr>
          <w:rFonts w:hint="eastAsia" w:ascii="黑体" w:hAnsi="黑体" w:eastAsia="黑体" w:cs="黑体"/>
          <w:sz w:val="24"/>
          <w:szCs w:val="24"/>
          <w:lang w:val="en-US" w:eastAsia="zh-CN"/>
        </w:rPr>
        <w:t>1.2.2 沿空留巷采煤工艺防灭火技术的发展现状</w:t>
      </w:r>
      <w:bookmarkEnd w:id="17"/>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沿空留巷采煤工艺防灭火技术的国内外现状可以概括为以下几点：</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上湾煤矿在采用沿空留巷技术中运用以注氮为主、注浆、加强监测为辅的综合防灭火措施，成功地杜绝了回采期间</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HYPERLINK \l "_ENREF_21" \o "王伟, 2016 #6" </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21</w:t>
      </w:r>
      <w:r>
        <w:rPr>
          <w:rFonts w:hint="default" w:ascii="宋体" w:hAnsi="宋体" w:cs="宋体"/>
          <w:color w:val="111111"/>
          <w:vertAlign w:val="superscript"/>
          <w:lang w:bidi="ar"/>
        </w:rPr>
        <w:fldChar w:fldCharType="end"/>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end"/>
      </w:r>
      <w:r>
        <w:rPr>
          <w:rFonts w:hint="default" w:ascii="宋体" w:hAnsi="宋体" w:cs="宋体"/>
          <w:color w:val="111111"/>
          <w:lang w:bidi="ar"/>
        </w:rPr>
        <w:t>自然发火事故。</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大同煤矿集团</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[30]</w:t>
      </w:r>
      <w:r>
        <w:rPr>
          <w:rFonts w:hint="default" w:ascii="宋体" w:hAnsi="宋体" w:cs="宋体"/>
          <w:color w:val="111111"/>
          <w:lang w:bidi="ar"/>
        </w:rPr>
        <w:fldChar w:fldCharType="end"/>
      </w:r>
      <w:r>
        <w:rPr>
          <w:rFonts w:hint="default"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云南省某自燃煤层</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[31]</w:t>
      </w:r>
      <w:r>
        <w:rPr>
          <w:rFonts w:hint="default" w:ascii="宋体" w:hAnsi="宋体" w:cs="宋体"/>
          <w:color w:val="111111"/>
          <w:lang w:bidi="ar"/>
        </w:rPr>
        <w:fldChar w:fldCharType="end"/>
      </w:r>
      <w:r>
        <w:rPr>
          <w:rFonts w:hint="default"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eastAsiaTheme="minorEastAsia"/>
          <w:color w:val="111111"/>
          <w:lang w:val="en-US" w:eastAsia="zh-CN" w:bidi="ar"/>
        </w:rPr>
      </w:pPr>
      <w:r>
        <w:rPr>
          <w:rFonts w:hint="eastAsia" w:ascii="宋体" w:hAnsi="宋体" w:cs="宋体"/>
          <w:color w:val="111111"/>
          <w:lang w:bidi="ar"/>
        </w:rPr>
        <w:t>但是，这些研究还存在着一些不足之处，对沿空留巷工作面综合防灭火技术的研究还不够全面</w:t>
      </w:r>
      <w:r>
        <w:rPr>
          <w:rFonts w:hint="eastAsia" w:ascii="宋体" w:hAnsi="宋体" w:cs="宋体"/>
          <w:color w:val="111111"/>
          <w:lang w:eastAsia="zh-CN" w:bidi="ar"/>
        </w:rPr>
        <w:t>。</w:t>
      </w: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8" w:name="_Toc20524"/>
      <w:r>
        <w:rPr>
          <w:rFonts w:hint="default" w:ascii="黑体" w:hAnsi="黑体" w:eastAsia="黑体" w:cs="黑体"/>
          <w:sz w:val="28"/>
          <w:szCs w:val="28"/>
        </w:rPr>
        <w:t>1.3 本文的主要研究内容</w:t>
      </w:r>
      <w:bookmarkEnd w:id="18"/>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default" w:ascii="宋体" w:hAnsi="宋体" w:cs="宋体"/>
          <w:color w:val="111111"/>
          <w:lang w:bidi="ar"/>
        </w:rPr>
        <w:t>本文的主要研究内容包括以下几个方面：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4）基于现场试验验证方法，选择开滦矿区某沿空留巷工作面为试验点，实施综合防灭火技术方案，监测采空区内遗煤的温度、氧浓度、氧化反应速率等参数的变化情况，评价防灭火技术方案的实际效果和可行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120" w:beforeAutospacing="0" w:after="0" w:afterAutospacing="0" w:line="400" w:lineRule="exact"/>
        <w:ind w:leftChars="0" w:right="0" w:rightChars="0"/>
        <w:textAlignment w:val="auto"/>
        <w:rPr>
          <w:rFonts w:hint="default" w:ascii="宋体" w:hAnsi="宋体" w:cs="宋体"/>
          <w:color w:val="111111"/>
          <w:lang w:bidi="ar"/>
        </w:rPr>
      </w:pPr>
    </w:p>
    <w:p>
      <w:pPr>
        <w:pStyle w:val="3"/>
        <w:keepNext/>
        <w:keepLines/>
        <w:pageBreakBefore w:val="0"/>
        <w:widowControl/>
        <w:kinsoku/>
        <w:wordWrap/>
        <w:overflowPunct/>
        <w:topLinePunct w:val="0"/>
        <w:autoSpaceDE/>
        <w:autoSpaceDN/>
        <w:bidi w:val="0"/>
        <w:adjustRightInd/>
        <w:snapToGrid/>
        <w:spacing w:before="480" w:after="120" w:line="400" w:lineRule="exact"/>
        <w:jc w:val="both"/>
        <w:textAlignment w:val="auto"/>
        <w:rPr>
          <w:rFonts w:hint="eastAsia" w:ascii="黑体" w:hAnsi="黑体" w:eastAsia="黑体" w:cs="黑体"/>
          <w:sz w:val="28"/>
          <w:szCs w:val="28"/>
          <w:lang w:val="en-US" w:eastAsia="zh-CN"/>
        </w:rPr>
      </w:pPr>
      <w:bookmarkStart w:id="19" w:name="_Toc25774"/>
      <w:r>
        <w:rPr>
          <w:rFonts w:hint="eastAsia" w:ascii="黑体" w:hAnsi="黑体" w:eastAsia="黑体" w:cs="黑体"/>
          <w:sz w:val="28"/>
          <w:szCs w:val="28"/>
          <w:lang w:val="en-US" w:eastAsia="zh-CN"/>
        </w:rPr>
        <w:t>1.4 技术路线图</w:t>
      </w:r>
      <w:bookmarkEnd w:id="19"/>
    </w:p>
    <w:p>
      <w:pPr>
        <w:rPr>
          <w:rFonts w:hint="default"/>
          <w:lang w:val="en-US" w:eastAsia="zh-CN"/>
        </w:rPr>
      </w:pPr>
      <w:r>
        <w:rPr>
          <w:rFonts w:hint="default"/>
          <w:lang w:val="en-US" w:eastAsia="zh-CN"/>
        </w:rPr>
        <w:drawing>
          <wp:inline distT="0" distB="0" distL="114300" distR="114300">
            <wp:extent cx="6104890" cy="4937760"/>
            <wp:effectExtent l="0" t="0" r="0" b="0"/>
            <wp:docPr id="5" name="图片 5" descr="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沿空留巷采煤工艺防灭火技术研究"/>
                    <pic:cNvPicPr>
                      <a:picLocks noChangeAspect="1"/>
                    </pic:cNvPicPr>
                  </pic:nvPicPr>
                  <pic:blipFill>
                    <a:blip r:embed="rId15"/>
                    <a:stretch>
                      <a:fillRect/>
                    </a:stretch>
                  </pic:blipFill>
                  <pic:spPr>
                    <a:xfrm>
                      <a:off x="0" y="0"/>
                      <a:ext cx="6104890" cy="49377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20" w:name="_Toc11940"/>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2</w:t>
      </w:r>
      <w:r>
        <w:rPr>
          <w:rFonts w:hint="default" w:ascii="黑体" w:hAnsi="黑体" w:eastAsia="黑体" w:cs="黑体"/>
          <w:b/>
          <w:kern w:val="44"/>
          <w:sz w:val="30"/>
          <w:szCs w:val="30"/>
          <w:lang w:val="en-US" w:eastAsia="zh-CN" w:bidi="ar-SA"/>
        </w:rPr>
        <w:t>章 沿空留巷自然发火特点和规律分析</w:t>
      </w:r>
      <w:bookmarkEnd w:id="20"/>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21" w:name="_Toc12158"/>
      <w:r>
        <w:rPr>
          <w:rFonts w:hint="eastAsia" w:ascii="黑体" w:hAnsi="黑体" w:eastAsia="黑体" w:cs="黑体"/>
          <w:sz w:val="28"/>
          <w:szCs w:val="28"/>
          <w:lang w:val="en-US" w:eastAsia="zh-CN"/>
        </w:rPr>
        <w:t>2.1 沿空留巷自然发火机理</w:t>
      </w:r>
      <w:bookmarkEnd w:id="2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2" w:name="_Toc28968"/>
      <w:r>
        <w:rPr>
          <w:rFonts w:hint="default" w:ascii="黑体" w:hAnsi="黑体" w:eastAsia="黑体" w:cs="黑体"/>
          <w:sz w:val="28"/>
          <w:szCs w:val="28"/>
          <w:lang w:val="en-US" w:eastAsia="zh-CN"/>
        </w:rPr>
        <w:t>2.2 沿空留巷自然发火影响因素</w:t>
      </w:r>
      <w:bookmarkEnd w:id="2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煤层自燃倾向性：不同煤层的自燃倾向性不同，主要取决于煤层的化学组成、物理结构、含水量等因素。一般来说，挥发分高、灰分低、含水量低、比表面积大的煤层更容易自然发火。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采空区遗煤量：采空区遗煤量越大，氧化反应的范围和强度越大，自然发火的可能性越高。采空区遗煤量受到开采方式、工作面进度、回采率等因素的影响。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采空区漏风量：采空区漏风量越大，氧浓度越高，氧化反应的速率和温度越快，自然发火的危险性越大。采空区漏风量受到通风系统、支护方式、地应力分布等因素的影响。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采空区温度：采空区温度越高，氧化反应的活化能越低，自然发火的临界条件越低。采空区温度受到地温、摩擦热、氧化热等因素的影响。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3" w:name="_Toc32307"/>
      <w:r>
        <w:rPr>
          <w:rFonts w:hint="default" w:ascii="黑体" w:hAnsi="黑体" w:eastAsia="黑体" w:cs="黑体"/>
          <w:sz w:val="28"/>
          <w:szCs w:val="28"/>
          <w:lang w:val="en-US" w:eastAsia="zh-CN"/>
        </w:rPr>
        <w:t>2.3 沿空留巷自然发火三带分布规律</w:t>
      </w:r>
      <w:bookmarkEnd w:id="23"/>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111111"/>
          <w:kern w:val="0"/>
          <w:sz w:val="24"/>
          <w:szCs w:val="24"/>
          <w:lang w:val="en-US" w:eastAsia="zh-CN"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12%，氧化反应速率较快，但散热速度大于升温速度，遗煤不会自然发火。氧化带是指靠近采空区中心的区域，遗煤温度高于自然发火点，氧浓度低于12%，氧化反应速率较慢，但升温速度大于散热速度，遗煤有自然发火的危险。窒息带是指靠近采空区边缘的区域，遗煤温度低于自然发火点，氧浓度低于5%，氧化反应速率极慢，遗煤不会自然发火。沿空留巷自然发火三带分布规律对于防灭火技术的设计和实施具有重要的指导意义。</w:t>
      </w:r>
      <w:r>
        <w:rPr>
          <w:rFonts w:hint="eastAsia" w:asciiTheme="minorEastAsia" w:hAnsiTheme="minorEastAsia" w:eastAsiaTheme="minorEastAsia" w:cstheme="minorEastAsia"/>
          <w:kern w:val="0"/>
          <w:sz w:val="24"/>
          <w:szCs w:val="24"/>
          <w:lang w:val="en-US" w:eastAsia="zh-CN" w:bidi="ar"/>
        </w:rPr>
        <w:t xml:space="preserve">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4" w:name="_Toc17644"/>
      <w:r>
        <w:rPr>
          <w:rFonts w:hint="default" w:ascii="黑体" w:hAnsi="黑体" w:eastAsia="黑体" w:cs="黑体"/>
          <w:sz w:val="28"/>
          <w:szCs w:val="28"/>
          <w:lang w:val="en-US" w:eastAsia="zh-CN"/>
        </w:rPr>
        <w:t>2.4 沿空留巷自然发火预兆参数确定</w:t>
      </w:r>
      <w:bookmarkEnd w:id="24"/>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沿空留巷自然发火预兆参数是指在采空区内，可以反映遗煤氧化反应和温度变化的一些物理量或化学量，如温度、氧浓度、氧化反应速率、CO/CO2比值等。通过监测这些参数的变化，可以及时发现并处理自然发火现象，降低火灾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根据沿空留巷自然发火三带分布规律，可以确定以下几个预兆参数：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温度是反映遗煤氧化反应强度和自然发火危险性的最直接和敏感的参数。一般来说，当遗煤温度达到或超过自然发火点时，就会发生自然发火现象。因此，监测采空区内遗煤的温度变化，是防灭火的重要手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氧浓度：氧浓度是反映遗煤与空气接触程度和氧化反应速率的重要参数。一般来说，当氧浓度低于12%时，氧化反应速率会明显降低，自然发火的可能性也会减小。因此，监测采空区内漏风量和氧浓度变化，是控制遗煤自然发火的有效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氧化反应速率：氧化反应速率是反映遗煤氧化反应强度和升温速度的重要参数。一般来说，当氧化反应速率高于散热速率时，遗煤温度会不断升高，自然发火的危险性也会增大。因此，监测采空区内遗煤的氧化反应速率变化，是评价遗煤自然发火风险的有效指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4）CO/CO2比值：CO/CO2比值是反映遗煤氧化反应类型和阶段的重要参数。一般来说，当CO/CO2比值低于0.02时，表示遗煤处于低温缓慢氧化阶段；当CO/CO2比值在0.02~0.1之间时，表示遗煤处于中温加速氧化阶段；当CO/CO2比值高于0.1时，表示遗煤处于高温剧烈氧化阶段。因此，监测采空区内遗煤的CO/CO2比值变化，是判断遗煤自然发火阶段和趋势的有效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Chars="0"/>
        <w:jc w:val="center"/>
        <w:textAlignment w:val="auto"/>
        <w:outlineLvl w:val="0"/>
        <w:rPr>
          <w:rFonts w:hint="default" w:ascii="黑体" w:hAnsi="黑体" w:eastAsia="黑体" w:cs="黑体"/>
          <w:b/>
          <w:kern w:val="44"/>
          <w:sz w:val="30"/>
          <w:szCs w:val="30"/>
          <w:lang w:val="en-US" w:eastAsia="zh-CN" w:bidi="ar-SA"/>
        </w:rPr>
      </w:pPr>
      <w:bookmarkStart w:id="25" w:name="_Toc15211"/>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3</w:t>
      </w:r>
      <w:r>
        <w:rPr>
          <w:rFonts w:hint="default" w:ascii="黑体" w:hAnsi="黑体" w:eastAsia="黑体" w:cs="黑体"/>
          <w:b/>
          <w:kern w:val="44"/>
          <w:sz w:val="30"/>
          <w:szCs w:val="30"/>
          <w:lang w:val="en-US" w:eastAsia="zh-CN" w:bidi="ar-SA"/>
        </w:rPr>
        <w:t>章 数值模拟和试验验证</w:t>
      </w:r>
      <w:bookmarkEnd w:id="25"/>
    </w:p>
    <w:p>
      <w:pPr>
        <w:pStyle w:val="3"/>
        <w:bidi w:val="0"/>
        <w:rPr>
          <w:rFonts w:hint="eastAsia" w:ascii="黑体" w:hAnsi="黑体" w:eastAsia="黑体" w:cs="黑体"/>
          <w:b/>
          <w:bCs w:val="0"/>
          <w:sz w:val="28"/>
          <w:szCs w:val="28"/>
          <w:lang w:val="en-US" w:eastAsia="zh-CN"/>
        </w:rPr>
      </w:pPr>
      <w:bookmarkStart w:id="26" w:name="_Toc31583"/>
      <w:r>
        <w:rPr>
          <w:rFonts w:hint="eastAsia" w:ascii="黑体" w:hAnsi="黑体" w:eastAsia="黑体" w:cs="黑体"/>
          <w:b/>
          <w:bCs w:val="0"/>
          <w:sz w:val="28"/>
          <w:szCs w:val="28"/>
          <w:lang w:val="en-US" w:eastAsia="zh-CN"/>
        </w:rPr>
        <w:t>3.1</w:t>
      </w:r>
      <w:r>
        <w:rPr>
          <w:rFonts w:hint="eastAsia" w:ascii="黑体" w:hAnsi="黑体" w:eastAsia="黑体" w:cs="黑体"/>
          <w:sz w:val="28"/>
          <w:szCs w:val="28"/>
          <w:lang w:val="en-US" w:eastAsia="zh-CN"/>
        </w:rPr>
        <w:t xml:space="preserve"> </w:t>
      </w:r>
      <w:r>
        <w:rPr>
          <w:rFonts w:hint="eastAsia" w:ascii="黑体" w:hAnsi="黑体" w:eastAsia="黑体" w:cs="黑体"/>
          <w:b/>
          <w:bCs w:val="0"/>
          <w:sz w:val="28"/>
          <w:szCs w:val="28"/>
          <w:lang w:val="en-US" w:eastAsia="zh-CN"/>
        </w:rPr>
        <w:t>计算流体力学</w:t>
      </w:r>
      <w:bookmarkEnd w:id="2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本文使用了Fluent软件中的标准k-ε湍流模型、非稳态求解器、SIMPLEC压力速度耦合算法、UDF用户自定义函数等技术，对沿空留巷工作面自然发火的流动现象进行了模拟计算。</w:t>
      </w:r>
    </w:p>
    <w:p>
      <w:pPr>
        <w:pStyle w:val="3"/>
        <w:bidi w:val="0"/>
        <w:rPr>
          <w:rFonts w:hint="eastAsia" w:ascii="黑体" w:hAnsi="黑体" w:eastAsia="黑体" w:cs="黑体"/>
          <w:sz w:val="28"/>
          <w:szCs w:val="28"/>
          <w:lang w:val="en-US" w:eastAsia="zh-CN"/>
        </w:rPr>
      </w:pPr>
      <w:bookmarkStart w:id="27" w:name="_Toc1756"/>
      <w:r>
        <w:rPr>
          <w:rFonts w:hint="eastAsia" w:ascii="黑体" w:hAnsi="黑体" w:eastAsia="黑体" w:cs="黑体"/>
          <w:b/>
          <w:bCs w:val="0"/>
          <w:sz w:val="28"/>
          <w:szCs w:val="28"/>
          <w:lang w:val="en-US" w:eastAsia="zh-CN"/>
        </w:rPr>
        <w:t>3.2 流体的运动状态</w:t>
      </w:r>
      <w:bookmarkEnd w:id="2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当</w:t>
      </w:r>
      <w:r>
        <w:rPr>
          <w:rFonts w:hint="eastAsia" w:ascii="宋体" w:hAnsi="宋体" w:cs="宋体"/>
          <w:color w:val="111111"/>
          <w:kern w:val="0"/>
          <w:sz w:val="24"/>
          <w:szCs w:val="24"/>
          <w:lang w:val="en-US" w:eastAsia="zh-CN" w:bidi="ar"/>
        </w:rPr>
        <w:t>流体</w:t>
      </w:r>
      <w:r>
        <w:rPr>
          <w:rFonts w:hint="default" w:ascii="宋体" w:hAnsi="宋体" w:cs="宋体" w:eastAsiaTheme="minorEastAsia"/>
          <w:color w:val="111111"/>
          <w:kern w:val="0"/>
          <w:sz w:val="24"/>
          <w:szCs w:val="24"/>
          <w:lang w:val="en-US" w:eastAsia="zh-CN"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判断</w:t>
      </w:r>
      <w:r>
        <w:rPr>
          <w:rFonts w:hint="eastAsia" w:ascii="宋体" w:hAnsi="宋体" w:cs="宋体"/>
          <w:color w:val="111111"/>
          <w:kern w:val="0"/>
          <w:sz w:val="24"/>
          <w:szCs w:val="24"/>
          <w:lang w:val="en-US" w:eastAsia="zh-CN" w:bidi="ar"/>
        </w:rPr>
        <w:t>流体运动状态的</w:t>
      </w:r>
      <w:r>
        <w:rPr>
          <w:rFonts w:hint="eastAsia" w:ascii="宋体" w:hAnsi="宋体" w:cs="宋体" w:eastAsiaTheme="minorEastAsia"/>
          <w:color w:val="111111"/>
          <w:kern w:val="0"/>
          <w:sz w:val="24"/>
          <w:szCs w:val="24"/>
          <w:lang w:val="en-US" w:eastAsia="zh-CN" w:bidi="ar"/>
        </w:rPr>
        <w:t>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80" w:firstLineChars="200"/>
        <w:jc w:val="left"/>
        <w:textAlignment w:val="auto"/>
        <w:rPr>
          <w:rFonts w:hint="default" w:ascii="宋体" w:hAnsi="宋体" w:cs="宋体" w:eastAsiaTheme="minorEastAsia"/>
          <w:color w:val="111111"/>
          <w:kern w:val="0"/>
          <w:sz w:val="24"/>
          <w:szCs w:val="24"/>
          <w:lang w:val="en-US" w:eastAsia="zh-CN" w:bidi="ar"/>
        </w:rPr>
      </w:pPr>
      <m:oMathPara>
        <m:oMath>
          <m:r>
            <m:rPr>
              <m:sty m:val="p"/>
            </m:rPr>
            <w:rPr>
              <w:rFonts w:hint="default" w:ascii="Cambria Math" w:hAnsi="宋体" w:cs="宋体"/>
              <w:color w:val="111111"/>
              <w:kern w:val="0"/>
              <w:sz w:val="24"/>
              <w:szCs w:val="24"/>
              <w:lang w:val="en-US" w:eastAsia="zh-CN" w:bidi="ar"/>
            </w:rPr>
            <m:t>Re=</m:t>
          </m:r>
          <m:f>
            <m:fPr>
              <m:ctrlPr>
                <w:rPr>
                  <w:rFonts w:ascii="Cambria Math" w:hAnsi="Cambria Math" w:cs="宋体"/>
                  <w:i/>
                  <w:color w:val="111111"/>
                  <w:kern w:val="0"/>
                  <w:sz w:val="24"/>
                  <w:szCs w:val="24"/>
                  <w:lang w:val="en-US" w:bidi="ar"/>
                </w:rPr>
              </m:ctrlPr>
            </m:fPr>
            <m:num>
              <m:r>
                <m:rPr/>
                <w:rPr>
                  <w:rFonts w:ascii="Cambria Math" w:hAnsi="Cambria Math" w:cs="宋体"/>
                  <w:color w:val="111111"/>
                  <w:kern w:val="0"/>
                  <w:sz w:val="24"/>
                  <w:szCs w:val="24"/>
                  <w:lang w:val="en-US" w:bidi="ar"/>
                </w:rPr>
                <m:t>ρ</m:t>
              </m:r>
              <m:r>
                <m:rPr/>
                <w:rPr>
                  <w:rFonts w:hint="default" w:ascii="Cambria Math" w:hAnsi="Cambria Math" w:cs="宋体"/>
                  <w:color w:val="111111"/>
                  <w:kern w:val="0"/>
                  <w:sz w:val="24"/>
                  <w:szCs w:val="24"/>
                  <w:lang w:val="en-US" w:eastAsia="zh-CN" w:bidi="ar"/>
                </w:rPr>
                <m:t>vL</m:t>
              </m:r>
              <m:ctrlPr>
                <w:rPr>
                  <w:rFonts w:ascii="Cambria Math" w:hAnsi="Cambria Math" w:cs="宋体"/>
                  <w:i/>
                  <w:color w:val="111111"/>
                  <w:kern w:val="0"/>
                  <w:sz w:val="24"/>
                  <w:szCs w:val="24"/>
                  <w:lang w:val="en-US" w:bidi="ar"/>
                </w:rPr>
              </m:ctrlPr>
            </m:num>
            <m:den>
              <m:r>
                <m:rPr/>
                <w:rPr>
                  <w:rFonts w:ascii="Cambria Math" w:hAnsi="Cambria Math" w:cs="宋体"/>
                  <w:color w:val="111111"/>
                  <w:kern w:val="0"/>
                  <w:sz w:val="24"/>
                  <w:szCs w:val="24"/>
                  <w:lang w:val="en-US" w:bidi="ar"/>
                </w:rPr>
                <m:t>μ</m:t>
              </m:r>
              <m:ctrlPr>
                <w:rPr>
                  <w:rFonts w:ascii="Cambria Math" w:hAnsi="Cambria Math" w:cs="宋体"/>
                  <w:i/>
                  <w:color w:val="111111"/>
                  <w:kern w:val="0"/>
                  <w:sz w:val="24"/>
                  <w:szCs w:val="24"/>
                  <w:lang w:val="en-US" w:bidi="ar"/>
                </w:rPr>
              </m:ctrlPr>
            </m:den>
          </m:f>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w:t>
      </w:r>
      <w:r>
        <w:rPr>
          <w:rFonts w:hint="default" w:ascii="宋体" w:hAnsi="宋体" w:cs="宋体" w:eastAsiaTheme="minorEastAsia"/>
          <w:color w:val="111111"/>
          <w:kern w:val="0"/>
          <w:sz w:val="24"/>
          <w:szCs w:val="24"/>
          <w:lang w:val="en-US" w:eastAsia="zh-CN"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根据雷诺数的定义，流体的平均速度、密度、尺寸和粘度都会影响流动状态。一般来说，当雷诺数大于4000时，流动为紊流；当雷诺数小于2300时，流动为层流；当雷诺数在2300到4000之间时，流动为过渡状态。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综上所述，漏风通道中的气流受到多种因素的影响，容易产生高雷诺数和紊乱不稳定的流动现象。这种流动现象对沿空留巷的自燃和防灭火技术有重要的影响。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为了研究沿空留巷自燃三带分布规律和火灾规律，需要对漏风通道中的气流进行数值模拟和理论分析，探讨地应力分布变化和不同漏风通道形式对氧化带变化规律的影响。</w:t>
      </w:r>
    </w:p>
    <w:p>
      <w:pPr>
        <w:pStyle w:val="3"/>
        <w:bidi w:val="0"/>
        <w:rPr>
          <w:rFonts w:hint="default" w:ascii="黑体" w:hAnsi="黑体" w:eastAsia="黑体" w:cs="黑体"/>
          <w:b/>
          <w:bCs w:val="0"/>
          <w:sz w:val="28"/>
          <w:szCs w:val="28"/>
          <w:lang w:val="en-US" w:eastAsia="zh-CN"/>
        </w:rPr>
      </w:pPr>
      <w:bookmarkStart w:id="28" w:name="_Toc8517"/>
      <w:r>
        <w:rPr>
          <w:rFonts w:hint="eastAsia" w:ascii="黑体" w:hAnsi="黑体" w:eastAsia="黑体" w:cs="黑体"/>
          <w:sz w:val="28"/>
          <w:szCs w:val="28"/>
          <w:lang w:val="en-US" w:eastAsia="zh-CN"/>
        </w:rPr>
        <w:t xml:space="preserve">3.3 </w:t>
      </w:r>
      <w:r>
        <w:rPr>
          <w:rFonts w:hint="eastAsia" w:ascii="黑体" w:hAnsi="黑体" w:eastAsia="黑体" w:cs="黑体"/>
          <w:b/>
          <w:bCs w:val="0"/>
          <w:sz w:val="28"/>
          <w:szCs w:val="28"/>
          <w:lang w:val="en-US" w:eastAsia="zh-CN"/>
        </w:rPr>
        <w:t>建立模型</w:t>
      </w:r>
      <w:bookmarkEnd w:id="28"/>
    </w:p>
    <w:p>
      <w:pPr>
        <w:pStyle w:val="4"/>
        <w:bidi w:val="0"/>
        <w:rPr>
          <w:rFonts w:hint="eastAsia" w:ascii="黑体" w:hAnsi="黑体" w:eastAsia="黑体" w:cs="黑体"/>
          <w:sz w:val="24"/>
          <w:szCs w:val="24"/>
          <w:lang w:val="en-US" w:eastAsia="zh-CN"/>
        </w:rPr>
      </w:pPr>
      <w:bookmarkStart w:id="29" w:name="_Toc32413"/>
      <w:r>
        <w:rPr>
          <w:rFonts w:hint="eastAsia" w:ascii="黑体" w:hAnsi="黑体" w:eastAsia="黑体" w:cs="黑体"/>
          <w:sz w:val="24"/>
          <w:szCs w:val="24"/>
          <w:lang w:val="en-US" w:eastAsia="zh-CN"/>
        </w:rPr>
        <w:t>3.3.1几何模型</w:t>
      </w:r>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准备模型和几何体： 首先，在ANSYS DesignModeler软件中创建要模拟的几何模型。</w:t>
      </w:r>
      <w:r>
        <w:rPr>
          <w:rFonts w:hint="eastAsia" w:ascii="宋体" w:hAnsi="宋体" w:cs="宋体"/>
          <w:color w:val="111111"/>
          <w:kern w:val="0"/>
          <w:sz w:val="24"/>
          <w:szCs w:val="24"/>
          <w:lang w:val="en-US" w:eastAsia="zh-CN" w:bidi="ar"/>
        </w:rPr>
        <w:t>分别创建采空区长度为100m，150m，200m的几何模型。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表3.1</w:t>
      </w:r>
      <w:r>
        <w:rPr>
          <w:rFonts w:hint="eastAsia" w:ascii="宋体" w:hAnsi="宋体" w:cs="宋体"/>
          <w:color w:val="111111"/>
          <w:kern w:val="0"/>
          <w:sz w:val="24"/>
          <w:szCs w:val="24"/>
          <w:lang w:val="en-US" w:eastAsia="zh-CN" w:bidi="ar"/>
        </w:rPr>
        <w:t xml:space="preserve"> </w:t>
      </w:r>
      <w:r>
        <w:rPr>
          <w:rFonts w:hint="eastAsia" w:ascii="黑体" w:hAnsi="黑体" w:eastAsia="黑体" w:cs="黑体"/>
          <w:color w:val="111111"/>
          <w:kern w:val="0"/>
          <w:sz w:val="22"/>
          <w:szCs w:val="22"/>
          <w:lang w:val="en-US" w:eastAsia="zh-CN" w:bidi="ar"/>
        </w:rPr>
        <w:t>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长度/m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宽度/m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5.38</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裂隙带（模型三）</w:t>
            </w:r>
          </w:p>
        </w:tc>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eastAsiaTheme="minorEastAsia"/>
          <w:lang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5194935" cy="2879725"/>
            <wp:effectExtent l="0" t="0" r="1905" b="63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6"/>
                    <a:stretch>
                      <a:fillRect/>
                    </a:stretch>
                  </pic:blipFill>
                  <pic:spPr>
                    <a:xfrm>
                      <a:off x="0" y="0"/>
                      <a:ext cx="5194935"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 3.1 模型一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205730" cy="2879725"/>
            <wp:effectExtent l="0" t="0" r="6350" b="63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7"/>
                    <a:stretch>
                      <a:fillRect/>
                    </a:stretch>
                  </pic:blipFill>
                  <pic:spPr>
                    <a:xfrm>
                      <a:off x="0" y="0"/>
                      <a:ext cx="5205730"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图3.2 模型二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194935" cy="2879725"/>
            <wp:effectExtent l="0" t="0" r="1905" b="635"/>
            <wp:docPr id="15" name="图片 15" descr="2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0m模型"/>
                    <pic:cNvPicPr>
                      <a:picLocks noChangeAspect="1"/>
                    </pic:cNvPicPr>
                  </pic:nvPicPr>
                  <pic:blipFill>
                    <a:blip r:embed="rId18"/>
                    <a:stretch>
                      <a:fillRect/>
                    </a:stretch>
                  </pic:blipFill>
                  <pic:spPr>
                    <a:xfrm>
                      <a:off x="0" y="0"/>
                      <a:ext cx="5194935"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图3.3 模型三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lang w:val="en-US" w:eastAsia="zh-CN"/>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网格划分： 使用ANSYS Meshing工具，对模型进行网格划分。在燃烧区域和边界层附近使用较小的网格尺寸以获得更高的模拟精度</w:t>
      </w:r>
      <w:r>
        <w:rPr>
          <w:rFonts w:hint="eastAsia" w:ascii="宋体" w:hAnsi="宋体" w:cs="宋体"/>
          <w:color w:val="111111"/>
          <w:kern w:val="0"/>
          <w:sz w:val="24"/>
          <w:szCs w:val="24"/>
          <w:lang w:val="en-US" w:eastAsia="zh-CN" w:bidi="ar"/>
        </w:rPr>
        <w:t>，并根据模拟要求创建进风口和出风口，在不考虑沿空留巷的模型中创建一个进风口和一个出风口，在考虑沿空留巷的模型中创建两个进风口和一个出风口。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表3.2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w:t>
            </w:r>
          </w:p>
        </w:tc>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40"/>
        <w:gridCol w:w="48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3052445" cy="2178685"/>
                  <wp:effectExtent l="0" t="0" r="10795" b="6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3052445" cy="217868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2849880" cy="2033905"/>
                  <wp:effectExtent l="0" t="0" r="0" b="825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849880" cy="203390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79"/>
        <w:gridCol w:w="4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60370" cy="2113280"/>
                  <wp:effectExtent l="0" t="0" r="1143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960370" cy="2113280"/>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23235" cy="2157730"/>
                  <wp:effectExtent l="0" t="0" r="952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3023235" cy="215773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模型二（单进风）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7"/>
        <w:gridCol w:w="50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2914015" cy="207962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64510" cy="2186940"/>
                  <wp:effectExtent l="0" t="0" r="1397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3064510" cy="218694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lang w:val="en-US" w:eastAsia="zh-CN"/>
        </w:rPr>
      </w:pPr>
    </w:p>
    <w:p>
      <w:pPr>
        <w:pStyle w:val="4"/>
        <w:bidi w:val="0"/>
        <w:rPr>
          <w:rFonts w:hint="eastAsia" w:ascii="黑体" w:hAnsi="黑体" w:eastAsia="黑体" w:cs="黑体"/>
          <w:sz w:val="24"/>
          <w:szCs w:val="24"/>
          <w:lang w:val="en-US" w:eastAsia="zh-CN"/>
        </w:rPr>
      </w:pPr>
      <w:bookmarkStart w:id="30" w:name="_Toc30540"/>
      <w:r>
        <w:rPr>
          <w:rFonts w:hint="eastAsia" w:ascii="黑体" w:hAnsi="黑体" w:eastAsia="黑体" w:cs="黑体"/>
          <w:sz w:val="24"/>
          <w:szCs w:val="24"/>
          <w:lang w:val="en-US" w:eastAsia="zh-CN"/>
        </w:rPr>
        <w:t>3.3.2 物理模型</w:t>
      </w:r>
      <w:bookmarkEnd w:id="3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纳维-斯托克斯方程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最基本的单相流模型</w:t>
      </w:r>
      <w:r>
        <w:rPr>
          <w:rFonts w:hint="eastAsia" w:ascii="宋体" w:hAnsi="宋体" w:cs="宋体"/>
          <w:color w:val="111111"/>
          <w:kern w:val="0"/>
          <w:sz w:val="24"/>
          <w:szCs w:val="24"/>
          <w:lang w:val="en-US" w:eastAsia="zh-CN" w:bidi="ar"/>
        </w:rPr>
        <w:t>，用以模拟</w:t>
      </w:r>
      <w:r>
        <w:rPr>
          <w:rFonts w:hint="default" w:ascii="宋体" w:hAnsi="宋体" w:cs="宋体" w:eastAsiaTheme="minorEastAsia"/>
          <w:color w:val="111111"/>
          <w:kern w:val="0"/>
          <w:sz w:val="24"/>
          <w:szCs w:val="24"/>
          <w:lang w:val="en-US" w:eastAsia="zh-CN" w:bidi="ar"/>
        </w:rPr>
        <w:t>流体的密度和黏度是恒定的</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流场</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非等温层流模型</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流体的密度和黏度与温度、局部组成、电场或其他物理场或变量相关</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这个模型可以考虑温度相关的流体属性和浮力效应。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雷诺平均纳维-斯托克斯（RANS）湍流模型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流体是不可压缩的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这个模型可以考虑湍流对动量、质量和能量传递的影响。RANS 湍流模型有很多种，比如 k-ε 模型、k-ω 模型、SST 模型、Spalart-Allmaras 模型等，它们有不同的优缺点和适用范围。</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高马赫数流动模型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这个模型可以考虑气体的压缩性和激波效应。高马赫数流动模型也有很多种，比如 k-ε 模型、Spalart-Allmaras 模型等</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大涡模拟（LES）模型或分离涡模拟（DES）模型</w:t>
      </w:r>
      <w:r>
        <w:rPr>
          <w:rFonts w:hint="eastAsia" w:ascii="宋体" w:hAnsi="宋体" w:cs="宋体"/>
          <w:color w:val="111111"/>
          <w:kern w:val="0"/>
          <w:sz w:val="24"/>
          <w:szCs w:val="24"/>
          <w:lang w:val="en-US" w:eastAsia="zh-CN" w:bidi="ar"/>
        </w:rPr>
        <w:t>：用以</w:t>
      </w:r>
      <w:r>
        <w:rPr>
          <w:rFonts w:hint="default" w:ascii="宋体" w:hAnsi="宋体" w:cs="宋体" w:eastAsiaTheme="minorEastAsia"/>
          <w:color w:val="111111"/>
          <w:kern w:val="0"/>
          <w:sz w:val="24"/>
          <w:szCs w:val="24"/>
          <w:lang w:val="en-US" w:eastAsia="zh-CN" w:bidi="ar"/>
        </w:rPr>
        <w:t>解析较大的三维非定常湍流涡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这些模型可以提供更精确的瞬态结果，但也需要更高的计算成本。LES 和 DES 模型也有很多种，比如 RBVM 模型、RBVMWV 模型、Smagorinsky 模型等。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本论文研究对象为</w:t>
      </w:r>
      <w:r>
        <w:rPr>
          <w:rFonts w:hint="default" w:ascii="宋体" w:hAnsi="宋体" w:cs="宋体" w:eastAsiaTheme="minorEastAsia"/>
          <w:color w:val="111111"/>
          <w:kern w:val="0"/>
          <w:sz w:val="24"/>
          <w:szCs w:val="24"/>
          <w:lang w:val="en-US" w:eastAsia="zh-CN" w:bidi="ar"/>
        </w:rPr>
        <w:t>漏风通道中的气流状态，气流是由空气和瓦斯组成的混合气体。空气和瓦斯都是理想气体，它们的密度与压力和温度成正比。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如果气流的速度很低，那么压力和温度的变化也很小，可以认为气流是不可压缩的。如果气流的速度很高，接近或超过音速，那么压力和温度的变化就很大，不能忽略气流的压缩性。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一般来说，当气流的马赫数（即速度与声速之比）小于0.3时，可以认为气流是不可压缩的；当马赫数大于0.3时，就需要考虑气流的可压缩性。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对于理想气体，声速的计算公式为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Ansi="Cambria Math" w:cs="宋体"/>
          <w:i w:val="0"/>
          <w:color w:val="111111"/>
          <w:kern w:val="0"/>
          <w:sz w:val="24"/>
          <w:szCs w:val="24"/>
          <w:lang w:val="en-US" w:bidi="ar"/>
        </w:rPr>
      </w:pPr>
      <m:oMathPara>
        <m:oMath>
          <m:r>
            <m:rPr>
              <m:sty m:val="p"/>
            </m:rPr>
            <w:rPr>
              <w:rFonts w:hint="eastAsia" w:ascii="Cambria Math" w:hAnsi="宋体" w:cs="宋体"/>
              <w:color w:val="111111"/>
              <w:kern w:val="0"/>
              <w:sz w:val="24"/>
              <w:szCs w:val="24"/>
              <w:lang w:val="en-US" w:eastAsia="zh-CN" w:bidi="ar"/>
            </w:rPr>
            <m:t>c</m:t>
          </m:r>
          <m:r>
            <m:rPr>
              <m:sty m:val="p"/>
            </m:rPr>
            <w:rPr>
              <w:rFonts w:hint="default" w:ascii="Cambria Math" w:hAnsi="宋体" w:cs="宋体"/>
              <w:color w:val="111111"/>
              <w:kern w:val="0"/>
              <w:sz w:val="24"/>
              <w:szCs w:val="24"/>
              <w:lang w:val="en-US" w:eastAsia="zh-CN" w:bidi="ar"/>
            </w:rPr>
            <m:t>=</m:t>
          </m:r>
          <m:rad>
            <m:radPr>
              <m:degHide m:val="1"/>
              <m:ctrlPr>
                <w:rPr>
                  <w:rFonts w:ascii="Cambria Math" w:hAnsi="Cambria Math" w:cs="宋体"/>
                  <w:i/>
                  <w:color w:val="111111"/>
                  <w:kern w:val="0"/>
                  <w:sz w:val="24"/>
                  <w:szCs w:val="24"/>
                  <w:lang w:val="en-US" w:bidi="ar"/>
                </w:rPr>
              </m:ctrlPr>
            </m:radPr>
            <m:deg>
              <m:ctrlPr>
                <w:rPr>
                  <w:rFonts w:ascii="Cambria Math" w:hAnsi="Cambria Math" w:cs="宋体"/>
                  <w:i/>
                  <w:color w:val="111111"/>
                  <w:kern w:val="0"/>
                  <w:sz w:val="24"/>
                  <w:szCs w:val="24"/>
                  <w:lang w:val="en-US" w:bidi="ar"/>
                </w:rPr>
              </m:ctrlPr>
            </m:deg>
            <m:e>
              <m:r>
                <m:rPr/>
                <w:rPr>
                  <w:rFonts w:ascii="Cambria Math" w:hAnsi="Cambria Math" w:cs="宋体"/>
                  <w:color w:val="111111"/>
                  <w:kern w:val="0"/>
                  <w:sz w:val="24"/>
                  <w:szCs w:val="24"/>
                  <w:lang w:val="en-US" w:bidi="ar"/>
                </w:rPr>
                <m:t>γ</m:t>
              </m:r>
              <m:r>
                <m:rPr/>
                <w:rPr>
                  <w:rFonts w:hint="default" w:ascii="Cambria Math" w:hAnsi="Cambria Math" w:cs="宋体"/>
                  <w:color w:val="111111"/>
                  <w:kern w:val="0"/>
                  <w:sz w:val="24"/>
                  <w:szCs w:val="24"/>
                  <w:lang w:val="en-US" w:eastAsia="zh-CN" w:bidi="ar"/>
                </w:rPr>
                <m:t>RT</m:t>
              </m:r>
              <m:ctrlPr>
                <w:rPr>
                  <w:rFonts w:ascii="Cambria Math" w:hAnsi="Cambria Math" w:cs="宋体"/>
                  <w:i/>
                  <w:color w:val="111111"/>
                  <w:kern w:val="0"/>
                  <w:sz w:val="24"/>
                  <w:szCs w:val="24"/>
                  <w:lang w:val="en-US" w:bidi="ar"/>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 xml:space="preserve">式中  </w:t>
      </w:r>
      <m:oMath>
        <m:r>
          <m:rPr>
            <m:sty m:val="p"/>
          </m:rPr>
          <w:rPr>
            <w:rFonts w:hint="eastAsia" w:ascii="Cambria Math" w:hAnsi="Cambria Math" w:cs="宋体" w:eastAsiaTheme="minorEastAsia"/>
            <w:color w:val="111111"/>
            <w:kern w:val="0"/>
            <w:sz w:val="24"/>
            <w:szCs w:val="24"/>
            <w:lang w:val="en-US" w:eastAsia="zh-CN" w:bidi="ar"/>
          </w:rPr>
          <m:t>γ</m:t>
        </m:r>
      </m:oMath>
      <w:r>
        <w:rPr>
          <w:rFonts w:hint="eastAsia" w:hAnsi="Cambria Math" w:cs="宋体"/>
          <w:b w:val="0"/>
          <w:i w:val="0"/>
          <w:color w:val="111111"/>
          <w:kern w:val="0"/>
          <w:sz w:val="24"/>
          <w:szCs w:val="24"/>
          <w:lang w:val="en-US" w:eastAsia="zh-CN" w:bidi="ar"/>
        </w:rPr>
        <w:t>——绝热指数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eastAsia" w:ascii="Cambria Math" w:hAnsi="Cambria Math" w:cs="宋体"/>
            <w:color w:val="111111"/>
            <w:kern w:val="0"/>
            <w:sz w:val="24"/>
            <w:szCs w:val="24"/>
            <w:lang w:val="en-US" w:eastAsia="zh-CN" w:bidi="ar"/>
          </w:rPr>
          <m:t>R</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气体常数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default" w:ascii="Cambria Math" w:hAnsi="Cambria Math" w:cs="宋体"/>
            <w:color w:val="111111"/>
            <w:kern w:val="0"/>
            <w:sz w:val="24"/>
            <w:szCs w:val="24"/>
            <w:lang w:val="en-US" w:eastAsia="zh-CN" w:bidi="ar"/>
          </w:rPr>
          <m:t>T</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温度</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 xml:space="preserve">对于空气取 </w:t>
      </w:r>
      <m:oMath>
        <m:r>
          <m:rPr>
            <m:sty m:val="p"/>
          </m:rPr>
          <w:rPr>
            <w:rFonts w:hint="eastAsia" w:ascii="Cambria Math" w:hAnsi="Cambria Math" w:cs="宋体" w:eastAsiaTheme="minorEastAsia"/>
            <w:color w:val="111111"/>
            <w:kern w:val="0"/>
            <w:sz w:val="24"/>
            <w:szCs w:val="24"/>
            <w:lang w:val="en-US" w:eastAsia="zh-CN" w:bidi="ar"/>
          </w:rPr>
          <m:t>γ</m:t>
        </m:r>
      </m:oMath>
      <w:r>
        <w:rPr>
          <w:rFonts w:hint="default" w:ascii="宋体" w:hAnsi="宋体" w:cs="宋体" w:eastAsiaTheme="minorEastAsia"/>
          <w:color w:val="111111"/>
          <w:kern w:val="0"/>
          <w:sz w:val="24"/>
          <w:szCs w:val="24"/>
          <w:lang w:val="en-US" w:eastAsia="zh-CN" w:bidi="ar"/>
        </w:rPr>
        <w:t xml:space="preserve"> =1.4 ，R =287 J/(kg·K) </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漏风通道中的气体温度为常温 20℃ ，即 T =293 K ，那么可以计算出声速为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int="eastAsia" w:hAnsi="Cambria Math" w:cs="宋体"/>
          <w:i w:val="0"/>
          <w:color w:val="111111"/>
          <w:kern w:val="0"/>
          <w:sz w:val="24"/>
          <w:szCs w:val="24"/>
          <w:lang w:val="en-US" w:eastAsia="zh-CN" w:bidi="ar"/>
        </w:rPr>
      </w:pPr>
      <m:oMath>
        <m:r>
          <m:rPr>
            <m:sty m:val="p"/>
          </m:rPr>
          <w:rPr>
            <w:rFonts w:hint="default" w:ascii="Cambria Math" w:hAnsi="Cambria Math" w:cs="宋体" w:eastAsiaTheme="minorEastAsia"/>
            <w:color w:val="111111"/>
            <w:kern w:val="0"/>
            <w:sz w:val="24"/>
            <w:szCs w:val="24"/>
            <w:lang w:val="en-US" w:eastAsia="zh-CN" w:bidi="ar"/>
          </w:rPr>
          <m:t>c=</m:t>
        </m:r>
        <m:rad>
          <m:radPr>
            <m:degHide m:val="1"/>
            <m:ctrlPr>
              <w:rPr>
                <w:rFonts w:hint="default" w:ascii="Cambria Math" w:hAnsi="Cambria Math" w:cs="宋体" w:eastAsiaTheme="minorEastAsia"/>
                <w:color w:val="111111"/>
                <w:kern w:val="0"/>
                <w:sz w:val="24"/>
                <w:szCs w:val="24"/>
                <w:lang w:val="en-US" w:eastAsia="zh-CN" w:bidi="ar"/>
              </w:rPr>
            </m:ctrlPr>
          </m:radPr>
          <m:deg>
            <m:ctrlPr>
              <w:rPr>
                <w:rFonts w:hint="default" w:ascii="Cambria Math" w:hAnsi="Cambria Math" w:cs="宋体" w:eastAsiaTheme="minorEastAsia"/>
                <w:color w:val="111111"/>
                <w:kern w:val="0"/>
                <w:sz w:val="24"/>
                <w:szCs w:val="24"/>
                <w:lang w:val="en-US" w:eastAsia="zh-CN" w:bidi="ar"/>
              </w:rPr>
            </m:ctrlPr>
          </m:deg>
          <m:e>
            <m:r>
              <m:rPr>
                <m:sty m:val="p"/>
              </m:rPr>
              <w:rPr>
                <w:rFonts w:hint="default" w:ascii="Cambria Math" w:hAnsi="Cambria Math" w:cs="宋体" w:eastAsiaTheme="minorEastAsia"/>
                <w:color w:val="111111"/>
                <w:kern w:val="0"/>
                <w:sz w:val="24"/>
                <w:szCs w:val="24"/>
                <w:lang w:val="en-US" w:eastAsia="zh-CN" w:bidi="ar"/>
              </w:rPr>
              <m:t>1.4</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287</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293</m:t>
            </m:r>
            <m:ctrlPr>
              <w:rPr>
                <w:rFonts w:hint="default" w:ascii="Cambria Math" w:hAnsi="Cambria Math" w:cs="宋体" w:eastAsiaTheme="minorEastAsia"/>
                <w:color w:val="111111"/>
                <w:kern w:val="0"/>
                <w:sz w:val="24"/>
                <w:szCs w:val="24"/>
                <w:lang w:val="en-US" w:eastAsia="zh-CN" w:bidi="ar"/>
              </w:rPr>
            </m:ctrlPr>
          </m:e>
        </m:rad>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346m/s</m:t>
        </m:r>
      </m:oMath>
      <w:r>
        <w:rPr>
          <w:rFonts w:hint="eastAsia" w:hAnsi="Cambria Math" w:cs="宋体"/>
          <w:i w:val="0"/>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w:t>
      </w:r>
      <w:r>
        <w:rPr>
          <w:rFonts w:hint="eastAsia" w:ascii="宋体" w:hAnsi="宋体" w:cs="宋体"/>
          <w:color w:val="111111"/>
          <w:kern w:val="0"/>
          <w:sz w:val="24"/>
          <w:szCs w:val="24"/>
          <w:lang w:val="en-US" w:eastAsia="zh-CN" w:bidi="ar"/>
        </w:rPr>
        <w:t>现场数据</w:t>
      </w:r>
      <w:r>
        <w:rPr>
          <w:rFonts w:hint="default" w:ascii="宋体" w:hAnsi="宋体" w:cs="宋体" w:eastAsiaTheme="minorEastAsia"/>
          <w:color w:val="111111"/>
          <w:kern w:val="0"/>
          <w:sz w:val="24"/>
          <w:szCs w:val="24"/>
          <w:lang w:val="en-US" w:eastAsia="zh-CN" w:bidi="ar"/>
        </w:rPr>
        <w:t xml:space="preserve">，漏风通道中的气流速度一般在1~10 m/s之间，那么气体流速为10m/s时，马赫数为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hAnsi="Cambria Math" w:cs="宋体" w:eastAsiaTheme="minorEastAsia"/>
          <w:i w:val="0"/>
          <w:color w:val="111111"/>
          <w:kern w:val="0"/>
          <w:sz w:val="24"/>
          <w:szCs w:val="24"/>
          <w:lang w:val="en-US" w:eastAsia="zh-CN" w:bidi="ar"/>
        </w:rPr>
      </w:pPr>
      <m:oMathPara>
        <m:oMath>
          <m:r>
            <m:rPr>
              <m:sty m:val="p"/>
            </m:rPr>
            <w:rPr>
              <w:rFonts w:hint="default" w:ascii="Cambria Math" w:hAnsi="Cambria Math" w:cs="宋体" w:eastAsiaTheme="minorEastAsia"/>
              <w:color w:val="111111"/>
              <w:kern w:val="0"/>
              <w:sz w:val="24"/>
              <w:szCs w:val="24"/>
              <w:lang w:val="en-US" w:eastAsia="zh-CN" w:bidi="ar"/>
            </w:rPr>
            <m:t>ma=</m:t>
          </m:r>
          <m:f>
            <m:fPr>
              <m:ctrlPr>
                <w:rPr>
                  <w:rFonts w:hint="default"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v</m:t>
              </m:r>
              <m:ctrlPr>
                <w:rPr>
                  <w:rFonts w:hint="default"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c</m:t>
              </m:r>
              <m:ctrlPr>
                <w:rPr>
                  <w:rFonts w:hint="default"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f>
            <m:fPr>
              <m:ctrlPr>
                <w:rPr>
                  <w:rFonts w:hint="eastAsia"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10</m:t>
              </m:r>
              <m:ctrlPr>
                <w:rPr>
                  <w:rFonts w:hint="eastAsia"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346</m:t>
              </m:r>
              <m:ctrlPr>
                <w:rPr>
                  <w:rFonts w:hint="eastAsia"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0.029</m:t>
          </m:r>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远小于0.3，因此，</w:t>
      </w:r>
      <w:r>
        <w:rPr>
          <w:rFonts w:hint="eastAsia" w:ascii="宋体" w:hAnsi="宋体" w:cs="宋体"/>
          <w:color w:val="111111"/>
          <w:kern w:val="0"/>
          <w:sz w:val="24"/>
          <w:szCs w:val="24"/>
          <w:lang w:val="en-US" w:eastAsia="zh-CN" w:bidi="ar"/>
        </w:rPr>
        <w:t>本课题选用</w:t>
      </w:r>
      <w:r>
        <w:rPr>
          <w:rFonts w:hint="default" w:ascii="宋体" w:hAnsi="宋体" w:cs="宋体" w:eastAsiaTheme="minorEastAsia"/>
          <w:color w:val="111111"/>
          <w:kern w:val="0"/>
          <w:sz w:val="24"/>
          <w:szCs w:val="24"/>
          <w:lang w:val="en-US" w:eastAsia="zh-CN" w:bidi="ar"/>
        </w:rPr>
        <w:t>雷诺平均纳维-斯托克斯湍流模型</w:t>
      </w:r>
      <w:r>
        <w:rPr>
          <w:rFonts w:hint="eastAsia" w:ascii="宋体" w:hAnsi="宋体" w:cs="宋体"/>
          <w:color w:val="111111"/>
          <w:kern w:val="0"/>
          <w:sz w:val="24"/>
          <w:szCs w:val="24"/>
          <w:lang w:val="en-US" w:eastAsia="zh-CN" w:bidi="ar"/>
        </w:rPr>
        <w:t>。</w:t>
      </w:r>
      <w:r>
        <w:rPr>
          <w:rFonts w:hint="eastAsia" w:ascii="宋体" w:hAnsi="宋体" w:cs="宋体"/>
          <w:color w:val="111111"/>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基于雷诺平均法（RANS）的湍流模型</w:t>
      </w:r>
      <w:r>
        <w:rPr>
          <w:rFonts w:hint="eastAsia"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零方程模型（Zero-equation model），如代数湍流粘性模型（Algebraic Turbulent Viscosity Model），只需要一个参数来表示湍流粘性，计算简单，但精度较低，只适用于一些简单的层流边界层问题。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一方程模型（One-equation model），如Spalart-Allmaras模型，只需要求解一个额外的方程来表示湍流粘性，计算成本较低，适用于一些具有附着边界层的问题，如翼型、飞机等。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本论文选取</w:t>
      </w:r>
      <w:r>
        <w:rPr>
          <w:rFonts w:hint="default" w:ascii="宋体" w:hAnsi="宋体" w:cs="宋体" w:eastAsiaTheme="minorEastAsia"/>
          <w:color w:val="111111"/>
          <w:kern w:val="0"/>
          <w:sz w:val="24"/>
          <w:szCs w:val="24"/>
          <w:lang w:val="en-US" w:eastAsia="zh-CN" w:bidi="ar"/>
        </w:rPr>
        <w:t>标准k-ε湍流模型</w:t>
      </w:r>
      <w:r>
        <w:rPr>
          <w:rFonts w:hint="eastAsia" w:ascii="宋体" w:hAnsi="宋体" w:cs="宋体"/>
          <w:color w:val="111111"/>
          <w:kern w:val="0"/>
          <w:sz w:val="24"/>
          <w:szCs w:val="24"/>
          <w:lang w:val="en-US" w:eastAsia="zh-CN" w:bidi="ar"/>
        </w:rPr>
        <w:t>作为CFD求解器。</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1" w:name="_Toc22472"/>
      <w:r>
        <w:rPr>
          <w:rFonts w:hint="eastAsia" w:ascii="黑体" w:hAnsi="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cs="黑体"/>
          <w:sz w:val="28"/>
          <w:szCs w:val="28"/>
          <w:lang w:val="en-US" w:eastAsia="zh-CN"/>
        </w:rPr>
        <w:t>4</w:t>
      </w:r>
      <w:r>
        <w:rPr>
          <w:rFonts w:hint="default" w:ascii="黑体" w:hAnsi="黑体" w:eastAsia="黑体" w:cs="黑体"/>
          <w:sz w:val="28"/>
          <w:szCs w:val="28"/>
          <w:lang w:val="en-US" w:eastAsia="zh-CN"/>
        </w:rPr>
        <w:t xml:space="preserve"> 数值模拟结果分析和讨论</w:t>
      </w:r>
      <w:bookmarkEnd w:id="31"/>
    </w:p>
    <w:p>
      <w:pPr>
        <w:pStyle w:val="4"/>
        <w:bidi w:val="0"/>
        <w:rPr>
          <w:rFonts w:hint="eastAsia" w:ascii="黑体" w:hAnsi="黑体" w:eastAsia="黑体" w:cs="黑体"/>
          <w:b/>
          <w:bCs w:val="0"/>
          <w:sz w:val="24"/>
          <w:szCs w:val="24"/>
          <w:lang w:val="en-US" w:eastAsia="zh-CN"/>
        </w:rPr>
      </w:pPr>
      <w:bookmarkStart w:id="32" w:name="_Toc8359"/>
      <w:r>
        <w:rPr>
          <w:rFonts w:hint="eastAsia" w:ascii="黑体" w:hAnsi="黑体" w:eastAsia="黑体" w:cs="黑体"/>
          <w:b/>
          <w:bCs w:val="0"/>
          <w:sz w:val="24"/>
          <w:szCs w:val="24"/>
          <w:lang w:val="en-US" w:eastAsia="zh-CN"/>
        </w:rPr>
        <w:t>3.4.1 自燃三带分布</w:t>
      </w:r>
      <w:bookmarkEnd w:id="32"/>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不考虑沿空留巷的影响，对三个模型进行数值模拟。设置进风巷风速为1.2m/s，氧气质量分数为23%，回风巷为自然出流。观察残差与收敛情况，得到计算结果，如下图：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51075" cy="2001520"/>
                  <wp:effectExtent l="0" t="0" r="4445" b="10160"/>
                  <wp:docPr id="27" name="图片 27" descr="zr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zrsd1"/>
                          <pic:cNvPicPr>
                            <a:picLocks noChangeAspect="1"/>
                          </pic:cNvPicPr>
                        </pic:nvPicPr>
                        <pic:blipFill>
                          <a:blip r:embed="rId25"/>
                          <a:stretch>
                            <a:fillRect/>
                          </a:stretch>
                        </pic:blipFill>
                        <pic:spPr>
                          <a:xfrm>
                            <a:off x="0" y="0"/>
                            <a:ext cx="2251075" cy="200152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3555" cy="2001520"/>
                  <wp:effectExtent l="0" t="0" r="4445" b="10160"/>
                  <wp:docPr id="30" name="图片 3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luent 100m 1"/>
                          <pic:cNvPicPr>
                            <a:picLocks noChangeAspect="1"/>
                          </pic:cNvPicPr>
                        </pic:nvPicPr>
                        <pic:blipFill>
                          <a:blip r:embed="rId26"/>
                          <a:stretch>
                            <a:fillRect/>
                          </a:stretch>
                        </pic:blipFill>
                        <pic:spPr>
                          <a:xfrm>
                            <a:off x="0" y="0"/>
                            <a:ext cx="304355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eastAsia"/>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eastAsiaTheme="minorEastAsia"/>
                <w:lang w:eastAsia="zh-CN"/>
              </w:rPr>
              <w:drawing>
                <wp:inline distT="0" distB="0" distL="114300" distR="114300">
                  <wp:extent cx="2250440" cy="2001520"/>
                  <wp:effectExtent l="0" t="0" r="5080" b="10160"/>
                  <wp:docPr id="32" name="图片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untitled"/>
                          <pic:cNvPicPr>
                            <a:picLocks noChangeAspect="1"/>
                          </pic:cNvPicPr>
                        </pic:nvPicPr>
                        <pic:blipFill>
                          <a:blip r:embed="rId27"/>
                          <a:stretch>
                            <a:fillRect/>
                          </a:stretch>
                        </pic:blipFill>
                        <pic:spPr>
                          <a:xfrm>
                            <a:off x="0" y="0"/>
                            <a:ext cx="2250440" cy="200152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2285" cy="2001520"/>
                  <wp:effectExtent l="0" t="0" r="5715" b="10160"/>
                  <wp:docPr id="33" name="图片 33"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luent 150m 1"/>
                          <pic:cNvPicPr>
                            <a:picLocks noChangeAspect="1"/>
                          </pic:cNvPicPr>
                        </pic:nvPicPr>
                        <pic:blipFill>
                          <a:blip r:embed="rId28"/>
                          <a:stretch>
                            <a:fillRect/>
                          </a:stretch>
                        </pic:blipFill>
                        <pic:spPr>
                          <a:xfrm>
                            <a:off x="0" y="0"/>
                            <a:ext cx="304228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eastAsia"/>
          <w:lang w:val="en-US" w:eastAsia="zh-CN"/>
        </w:rPr>
      </w:pPr>
    </w:p>
    <w:p>
      <w:pPr>
        <w:rPr>
          <w:rFonts w:hint="eastAsia"/>
          <w:lang w:val="en-US" w:eastAsia="zh-CN"/>
        </w:rPr>
      </w:pPr>
      <w:r>
        <w:rPr>
          <w:rFonts w:hint="eastAsia"/>
          <w:lang w:val="en-US" w:eastAsia="zh-CN"/>
        </w:rPr>
        <w:t xml:space="preserve">      </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51075" cy="2001520"/>
                  <wp:effectExtent l="0" t="0" r="4445" b="10160"/>
                  <wp:docPr id="34" name="图片 3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ntitled"/>
                          <pic:cNvPicPr>
                            <a:picLocks noChangeAspect="1"/>
                          </pic:cNvPicPr>
                        </pic:nvPicPr>
                        <pic:blipFill>
                          <a:blip r:embed="rId29"/>
                          <a:stretch>
                            <a:fillRect/>
                          </a:stretch>
                        </pic:blipFill>
                        <pic:spPr>
                          <a:xfrm>
                            <a:off x="0" y="0"/>
                            <a:ext cx="2251075" cy="2001520"/>
                          </a:xfrm>
                          <a:prstGeom prst="rect">
                            <a:avLst/>
                          </a:prstGeom>
                        </pic:spPr>
                      </pic:pic>
                    </a:graphicData>
                  </a:graphic>
                </wp:inline>
              </w:drawing>
            </w:r>
          </w:p>
        </w:tc>
        <w:tc>
          <w:tcPr>
            <w:tcW w:w="4927" w:type="dxa"/>
          </w:tcPr>
          <w:p>
            <w:pPr>
              <w:widowControl w:val="0"/>
              <w:rPr>
                <w:rFonts w:hint="eastAsia"/>
                <w:vertAlign w:val="baseline"/>
                <w:lang w:val="en-US" w:eastAsia="zh-CN"/>
              </w:rPr>
            </w:pPr>
            <w:r>
              <w:rPr>
                <w:rFonts w:hint="default"/>
                <w:lang w:val="en-US" w:eastAsia="zh-CN"/>
              </w:rPr>
              <w:drawing>
                <wp:inline distT="0" distB="0" distL="114300" distR="114300">
                  <wp:extent cx="3042920" cy="2001520"/>
                  <wp:effectExtent l="0" t="0" r="5080" b="10160"/>
                  <wp:docPr id="38" name="图片 3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luent 200m 1"/>
                          <pic:cNvPicPr>
                            <a:picLocks noChangeAspect="1"/>
                          </pic:cNvPicPr>
                        </pic:nvPicPr>
                        <pic:blipFill>
                          <a:blip r:embed="rId30"/>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w:t>
      </w:r>
      <w:r>
        <w:rPr>
          <w:rFonts w:hint="eastAsia" w:ascii="宋体" w:hAnsi="宋体" w:cs="宋体"/>
          <w:color w:val="111111"/>
          <w:kern w:val="0"/>
          <w:sz w:val="24"/>
          <w:szCs w:val="24"/>
          <w:lang w:val="en-US" w:eastAsia="zh-CN" w:bidi="ar"/>
        </w:rPr>
        <w:t>随采空区长度不断扩大，氧气扩散范围并无明显变化。</w:t>
      </w:r>
      <w:r>
        <w:rPr>
          <w:rFonts w:hint="eastAsia" w:ascii="宋体" w:hAnsi="宋体" w:cs="宋体" w:eastAsiaTheme="minorEastAsia"/>
          <w:color w:val="111111"/>
          <w:kern w:val="0"/>
          <w:sz w:val="24"/>
          <w:szCs w:val="24"/>
          <w:lang w:val="en-US" w:eastAsia="zh-CN" w:bidi="ar"/>
        </w:rPr>
        <w:t>在X轴方向，采空区内的氧气含量从外到内逐渐降低，散热带在大约</w:t>
      </w:r>
      <w:r>
        <w:rPr>
          <w:rFonts w:hint="eastAsia" w:ascii="宋体" w:hAnsi="宋体" w:cs="宋体"/>
          <w:color w:val="111111"/>
          <w:kern w:val="0"/>
          <w:sz w:val="24"/>
          <w:szCs w:val="24"/>
          <w:lang w:val="en-US" w:eastAsia="zh-CN" w:bidi="ar"/>
        </w:rPr>
        <w:t>0</w:t>
      </w:r>
      <w:r>
        <w:rPr>
          <w:rFonts w:hint="eastAsia" w:ascii="宋体" w:hAnsi="宋体" w:cs="宋体" w:eastAsiaTheme="minorEastAsia"/>
          <w:color w:val="111111"/>
          <w:kern w:val="0"/>
          <w:sz w:val="24"/>
          <w:szCs w:val="24"/>
          <w:lang w:val="en-US" w:eastAsia="zh-CN" w:bidi="ar"/>
        </w:rPr>
        <w:t>~50m范围内，氧气质量分数大于12%；氧化带在大约50~80m范围内，氧气质量分数大于5%；窒息带在大约80m之后，氧气浓度低于5%，。随着Y轴,Z轴距离增加，氧气的扩散范围逐渐减少，整体上自燃三带从外到内顺序分布。</w:t>
      </w:r>
    </w:p>
    <w:p>
      <w:pPr>
        <w:pStyle w:val="4"/>
        <w:bidi w:val="0"/>
        <w:rPr>
          <w:rFonts w:hint="eastAsia" w:ascii="黑体" w:hAnsi="黑体" w:eastAsia="黑体" w:cs="黑体"/>
          <w:sz w:val="24"/>
          <w:szCs w:val="24"/>
          <w:lang w:val="en-US" w:eastAsia="zh-CN"/>
        </w:rPr>
      </w:pPr>
      <w:bookmarkStart w:id="33" w:name="_Toc26946"/>
      <w:r>
        <w:rPr>
          <w:rFonts w:hint="eastAsia" w:ascii="黑体" w:hAnsi="黑体" w:eastAsia="黑体" w:cs="黑体"/>
          <w:sz w:val="24"/>
          <w:szCs w:val="24"/>
          <w:lang w:val="en-US" w:eastAsia="zh-CN"/>
        </w:rPr>
        <w:t>3.4.2 沿空留巷自燃三带分布</w:t>
      </w:r>
      <w:bookmarkEnd w:id="3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eastAsiaTheme="minorEastAsia"/>
          <w:color w:val="111111"/>
          <w:kern w:val="0"/>
          <w:sz w:val="24"/>
          <w:szCs w:val="24"/>
          <w:lang w:val="en-US" w:eastAsia="zh-CN" w:bidi="ar"/>
        </w:rPr>
        <w:t>考虑沿空留巷的影响，对三个模型进行数值模拟，设置进风巷风速为1.2m/s，氧气质量分数为23%，</w:t>
      </w:r>
      <w:r>
        <w:rPr>
          <w:rFonts w:hint="eastAsia" w:ascii="宋体" w:hAnsi="宋体" w:cs="宋体"/>
          <w:color w:val="111111"/>
          <w:kern w:val="0"/>
          <w:sz w:val="24"/>
          <w:szCs w:val="24"/>
          <w:lang w:val="en-US" w:eastAsia="zh-CN" w:bidi="ar"/>
        </w:rPr>
        <w:t>沿空留巷进风速度为0.33m/s，氧气质量分数为23%。</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p>
    <w:tbl>
      <w:tblPr>
        <w:tblStyle w:val="14"/>
        <w:tblpPr w:leftFromText="180" w:rightFromText="180" w:vertAnchor="text" w:horzAnchor="page" w:tblpX="1142" w:tblpY="78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eastAsia"/>
                <w:vertAlign w:val="baseline"/>
                <w:lang w:val="en-US" w:eastAsia="zh-CN"/>
              </w:rPr>
            </w:pPr>
            <w:r>
              <w:rPr>
                <w:rFonts w:hint="default"/>
                <w:lang w:val="en-US" w:eastAsia="zh-CN"/>
              </w:rPr>
              <w:drawing>
                <wp:inline distT="0" distB="0" distL="114300" distR="114300">
                  <wp:extent cx="2251075" cy="2001520"/>
                  <wp:effectExtent l="0" t="0" r="4445" b="10160"/>
                  <wp:docPr id="39" name="图片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ntitled"/>
                          <pic:cNvPicPr>
                            <a:picLocks noChangeAspect="1"/>
                          </pic:cNvPicPr>
                        </pic:nvPicPr>
                        <pic:blipFill>
                          <a:blip r:embed="rId31"/>
                          <a:stretch>
                            <a:fillRect/>
                          </a:stretch>
                        </pic:blipFill>
                        <pic:spPr>
                          <a:xfrm>
                            <a:off x="0" y="0"/>
                            <a:ext cx="2251075" cy="2001520"/>
                          </a:xfrm>
                          <a:prstGeom prst="rect">
                            <a:avLst/>
                          </a:prstGeom>
                        </pic:spPr>
                      </pic:pic>
                    </a:graphicData>
                  </a:graphic>
                </wp:inline>
              </w:drawing>
            </w:r>
          </w:p>
        </w:tc>
        <w:tc>
          <w:tcPr>
            <w:tcW w:w="5016" w:type="dxa"/>
          </w:tcPr>
          <w:p>
            <w:pPr>
              <w:widowControl w:val="0"/>
              <w:rPr>
                <w:rFonts w:hint="eastAsia"/>
                <w:vertAlign w:val="baseline"/>
                <w:lang w:val="en-US" w:eastAsia="zh-CN"/>
              </w:rPr>
            </w:pPr>
            <w:r>
              <w:rPr>
                <w:rFonts w:hint="default"/>
                <w:lang w:val="en-US" w:eastAsia="zh-CN"/>
              </w:rPr>
              <w:drawing>
                <wp:inline distT="0" distB="0" distL="114300" distR="114300">
                  <wp:extent cx="3042285" cy="2001520"/>
                  <wp:effectExtent l="0" t="0" r="5715" b="10160"/>
                  <wp:docPr id="40" name="图片 40"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luent 100m 2"/>
                          <pic:cNvPicPr>
                            <a:picLocks noChangeAspect="1"/>
                          </pic:cNvPicPr>
                        </pic:nvPicPr>
                        <pic:blipFill>
                          <a:blip r:embed="rId32"/>
                          <a:stretch>
                            <a:fillRect/>
                          </a:stretch>
                        </pic:blipFill>
                        <pic:spPr>
                          <a:xfrm>
                            <a:off x="0" y="0"/>
                            <a:ext cx="304228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default"/>
                <w:vertAlign w:val="baseline"/>
                <w:lang w:val="en-US" w:eastAsia="zh-CN"/>
              </w:rPr>
            </w:pPr>
            <w:r>
              <w:rPr>
                <w:rFonts w:hint="eastAsia"/>
                <w:vertAlign w:val="baseline"/>
                <w:lang w:val="en-US" w:eastAsia="zh-CN"/>
              </w:rPr>
              <w:t>模型一</w:t>
            </w:r>
          </w:p>
        </w:tc>
        <w:tc>
          <w:tcPr>
            <w:tcW w:w="5016"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default"/>
          <w:lang w:val="en-US" w:eastAsia="zh-CN"/>
        </w:rPr>
      </w:pPr>
    </w:p>
    <w:p>
      <w:pPr>
        <w:rPr>
          <w:rFonts w:hint="default"/>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075" cy="2001520"/>
                  <wp:effectExtent l="0" t="0" r="4445" b="10160"/>
                  <wp:docPr id="41" name="图片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pic:cNvPicPr>
                            <a:picLocks noChangeAspect="1"/>
                          </pic:cNvPicPr>
                        </pic:nvPicPr>
                        <pic:blipFill>
                          <a:blip r:embed="rId33"/>
                          <a:stretch>
                            <a:fillRect/>
                          </a:stretch>
                        </pic:blipFill>
                        <pic:spPr>
                          <a:xfrm>
                            <a:off x="0" y="0"/>
                            <a:ext cx="2251075" cy="2001520"/>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920" cy="2001520"/>
                  <wp:effectExtent l="0" t="0" r="5080" b="10160"/>
                  <wp:docPr id="42" name="图片 42"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luent 150m 2"/>
                          <pic:cNvPicPr>
                            <a:picLocks noChangeAspect="1"/>
                          </pic:cNvPicPr>
                        </pic:nvPicPr>
                        <pic:blipFill>
                          <a:blip r:embed="rId34"/>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default"/>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710" cy="2001520"/>
                  <wp:effectExtent l="0" t="0" r="3810" b="10160"/>
                  <wp:docPr id="43" name="图片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ntitled"/>
                          <pic:cNvPicPr>
                            <a:picLocks noChangeAspect="1"/>
                          </pic:cNvPicPr>
                        </pic:nvPicPr>
                        <pic:blipFill>
                          <a:blip r:embed="rId35"/>
                          <a:stretch>
                            <a:fillRect/>
                          </a:stretch>
                        </pic:blipFill>
                        <pic:spPr>
                          <a:xfrm>
                            <a:off x="0" y="0"/>
                            <a:ext cx="2251710" cy="2001520"/>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920" cy="2001520"/>
                  <wp:effectExtent l="0" t="0" r="5080" b="10160"/>
                  <wp:docPr id="44" name="图片 4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luent 200m 2"/>
                          <pic:cNvPicPr>
                            <a:picLocks noChangeAspect="1"/>
                          </pic:cNvPicPr>
                        </pic:nvPicPr>
                        <pic:blipFill>
                          <a:blip r:embed="rId36"/>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default"/>
          <w:lang w:val="en-US" w:eastAsia="zh-CN"/>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观察图像可得：在加入沿空留巷后，自燃三带的分布有着明显变化</w:t>
      </w:r>
      <w:r>
        <w:rPr>
          <w:rFonts w:hint="eastAsia" w:ascii="宋体" w:hAnsi="宋体" w:cs="宋体"/>
          <w:color w:val="111111"/>
          <w:kern w:val="0"/>
          <w:sz w:val="24"/>
          <w:szCs w:val="24"/>
          <w:lang w:val="en-US" w:eastAsia="zh-CN" w:bidi="ar"/>
        </w:rPr>
        <w:t>，但整体上依旧是从外到内依次分布，边界明显</w:t>
      </w:r>
      <w:r>
        <w:rPr>
          <w:rFonts w:hint="eastAsia" w:ascii="宋体" w:hAnsi="宋体" w:cs="宋体" w:eastAsiaTheme="minorEastAsia"/>
          <w:color w:val="111111"/>
          <w:kern w:val="0"/>
          <w:sz w:val="24"/>
          <w:szCs w:val="24"/>
          <w:lang w:val="en-US" w:eastAsia="zh-CN" w:bidi="ar"/>
        </w:rPr>
        <w:t>。在</w:t>
      </w:r>
      <w:r>
        <w:rPr>
          <w:rFonts w:hint="eastAsia" w:ascii="宋体" w:hAnsi="宋体" w:cs="宋体"/>
          <w:color w:val="111111"/>
          <w:kern w:val="0"/>
          <w:sz w:val="24"/>
          <w:szCs w:val="24"/>
          <w:lang w:val="en-US" w:eastAsia="zh-CN" w:bidi="ar"/>
        </w:rPr>
        <w:t>工作面右侧大约</w:t>
      </w:r>
      <w:r>
        <w:rPr>
          <w:rFonts w:hint="eastAsia" w:ascii="宋体" w:hAnsi="宋体" w:cs="宋体" w:eastAsiaTheme="minorEastAsia"/>
          <w:color w:val="111111"/>
          <w:kern w:val="0"/>
          <w:sz w:val="24"/>
          <w:szCs w:val="24"/>
          <w:lang w:val="en-US" w:eastAsia="zh-CN" w:bidi="ar"/>
        </w:rPr>
        <w:t>0~50m范围内</w:t>
      </w:r>
      <w:r>
        <w:rPr>
          <w:rFonts w:hint="eastAsia" w:ascii="宋体" w:hAnsi="宋体" w:cs="宋体"/>
          <w:color w:val="111111"/>
          <w:kern w:val="0"/>
          <w:sz w:val="24"/>
          <w:szCs w:val="24"/>
          <w:lang w:val="en-US" w:eastAsia="zh-CN" w:bidi="ar"/>
        </w:rPr>
        <w:t>氧气质量分数大于12%,</w:t>
      </w:r>
      <w:r>
        <w:rPr>
          <w:rFonts w:hint="eastAsia" w:ascii="宋体" w:hAnsi="宋体" w:cs="宋体" w:eastAsiaTheme="minorEastAsia"/>
          <w:color w:val="111111"/>
          <w:kern w:val="0"/>
          <w:sz w:val="24"/>
          <w:szCs w:val="24"/>
          <w:lang w:val="en-US" w:eastAsia="zh-CN" w:bidi="ar"/>
        </w:rPr>
        <w:t>随Y轴距离增加氧气扩散范围逐渐减少</w:t>
      </w:r>
      <w:r>
        <w:rPr>
          <w:rFonts w:hint="eastAsia" w:ascii="宋体" w:hAnsi="宋体" w:cs="宋体"/>
          <w:color w:val="111111"/>
          <w:kern w:val="0"/>
          <w:sz w:val="24"/>
          <w:szCs w:val="24"/>
          <w:lang w:val="en-US" w:eastAsia="zh-CN" w:bidi="ar"/>
        </w:rPr>
        <w:t>；在沿空留巷内部氧气质量分数大于12%，随进风方向在采空区内的扩散范围逐渐减少，大致扩散20~40m。氧化带大致呈躺椅式分布，大致扩散20~30m，剩余部分为窒息带，大致呈梯形分布。</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34" w:name="_Toc16186"/>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4</w:t>
      </w:r>
      <w:r>
        <w:rPr>
          <w:rFonts w:hint="default" w:ascii="黑体" w:hAnsi="黑体" w:eastAsia="黑体" w:cs="黑体"/>
          <w:b/>
          <w:kern w:val="44"/>
          <w:sz w:val="30"/>
          <w:szCs w:val="30"/>
          <w:lang w:val="en-US" w:eastAsia="zh-CN" w:bidi="ar-SA"/>
        </w:rPr>
        <w:t>章 沿空留巷综合防灭火技术方案设计</w:t>
      </w:r>
      <w:bookmarkEnd w:id="34"/>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35" w:name="_Toc8615"/>
      <w:r>
        <w:rPr>
          <w:rFonts w:hint="eastAsia" w:ascii="黑体" w:hAnsi="黑体" w:cs="黑体"/>
          <w:sz w:val="28"/>
          <w:szCs w:val="28"/>
          <w:lang w:val="en-US" w:eastAsia="zh-CN"/>
        </w:rPr>
        <w:t>4</w:t>
      </w:r>
      <w:r>
        <w:rPr>
          <w:rFonts w:hint="eastAsia" w:ascii="黑体" w:hAnsi="黑体" w:eastAsia="黑体" w:cs="黑体"/>
          <w:sz w:val="28"/>
          <w:szCs w:val="28"/>
          <w:lang w:val="en-US" w:eastAsia="zh-CN"/>
        </w:rPr>
        <w:t>.1 漏风控制技术</w:t>
      </w:r>
      <w:bookmarkEnd w:id="35"/>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漏风控制技术是指通过加固沿空留巷墙体、设置堵塞墙、改变通风系统等方式，减少采空区内的漏风量，降低氧浓度，抑制遗煤氧化反应，防止自然发火的技术。</w:t>
      </w:r>
      <w:r>
        <w:rPr>
          <w:rFonts w:hint="eastAsia" w:ascii="宋体" w:hAnsi="宋体" w:cs="宋体"/>
          <w:color w:val="111111"/>
          <w:kern w:val="0"/>
          <w:sz w:val="24"/>
          <w:szCs w:val="24"/>
          <w:lang w:val="en-US" w:eastAsia="zh-CN" w:bidi="ar"/>
        </w:rPr>
        <w:t>常用方法为</w:t>
      </w:r>
      <w:r>
        <w:rPr>
          <w:rFonts w:hint="eastAsia" w:ascii="宋体" w:hAnsi="宋体" w:cs="宋体" w:eastAsiaTheme="minorEastAsia"/>
          <w:color w:val="111111"/>
          <w:kern w:val="0"/>
          <w:sz w:val="24"/>
          <w:szCs w:val="24"/>
          <w:lang w:val="en-US" w:eastAsia="zh-CN" w:bidi="ar"/>
        </w:rPr>
        <w:t xml:space="preserve">Y型通风沿空留巷技术，即在工作面后方设置一个Y型分流器，将进风分为两路，一路进入回采巷道，一路进入沿空留巷。这样可以实现工作面的局部负压通风，减少采空区漏风量，提高通风质量和安全性。同时，通过对沿空留巷墙体进行加固支护，设置密闭隔离墙和注浆管道等措施，进一步堵塞漏风通道，降低氧浓度，防止自然发火。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6" w:name="_Toc12882"/>
      <w:r>
        <w:rPr>
          <w:rFonts w:hint="eastAsia" w:ascii="黑体" w:hAnsi="黑体" w:cs="黑体"/>
          <w:sz w:val="28"/>
          <w:szCs w:val="28"/>
          <w:lang w:val="en-US" w:eastAsia="zh-CN"/>
        </w:rPr>
        <w:t>4</w:t>
      </w:r>
      <w:r>
        <w:rPr>
          <w:rFonts w:hint="default" w:ascii="黑体" w:hAnsi="黑体" w:eastAsia="黑体" w:cs="黑体"/>
          <w:sz w:val="28"/>
          <w:szCs w:val="28"/>
          <w:lang w:val="en-US" w:eastAsia="zh-CN"/>
        </w:rPr>
        <w:t>.2 注氮降温技术</w:t>
      </w:r>
      <w:bookmarkEnd w:id="3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注氮降温技术是指在采空区内注入液态氮或气态氮，以降低遗煤的温度和氧浓度，抑制遗煤的自然发火。注氮降温技术有以下几个优点：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（1）注氮降温技术可以有效地控制采空区内的火灾危险区域，减少自然发火的可能性。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（2）注氮降温技术可以减少对通风系统的干扰，避免影响工作面的正常通风。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（3）注氮降温技术可以节约资源，减少煤炭的损失和浪费。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（4）注氮降温技术可以提高工作面的安全性和稳定性，保障人员和设备的安全。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（1）根据采空区的形态、大小、漏风量等因素，确定注氮点的位置、数量、间距等参数。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（2）在注氮点处设置注氮管道或注氮器，连接液态氮或气态氮的供应源。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（3）根据遗煤的自然发火特点和规律，确定注氮量、注氮压力、注氮时间等参数。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（4）开启注氮装置，将液态氮或气态氮注入采空区内，形成低温低氧环境。</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（5）监测采空区内的温度、氧浓度、瓦斯浓度等参数，及时调整注氮参数，保持注氮效果。</w:t>
      </w:r>
    </w:p>
    <w:p>
      <w:pPr>
        <w:rPr>
          <w:rFonts w:hint="default"/>
          <w:lang w:val="en-US" w:eastAsia="zh-CN"/>
        </w:rPr>
      </w:pP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7" w:name="_Toc27051"/>
      <w:r>
        <w:rPr>
          <w:rFonts w:hint="eastAsia" w:ascii="黑体" w:hAnsi="黑体" w:cs="黑体"/>
          <w:sz w:val="28"/>
          <w:szCs w:val="28"/>
          <w:lang w:val="en-US" w:eastAsia="zh-CN"/>
        </w:rPr>
        <w:t>4</w:t>
      </w:r>
      <w:r>
        <w:rPr>
          <w:rFonts w:hint="default" w:ascii="黑体" w:hAnsi="黑体" w:eastAsia="黑体" w:cs="黑体"/>
          <w:sz w:val="28"/>
          <w:szCs w:val="28"/>
          <w:lang w:val="en-US" w:eastAsia="zh-CN"/>
        </w:rPr>
        <w:t>.3 注浆密闭技术</w:t>
      </w:r>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（3）按照一定的顺序和时间间隔，向采空区内进行注浆操作，直到达到预定的注浆量或压力。在注浆过程中，应注意观察采空区内的温度、氧浓度、气体成分等参数的变化，及时调整注浆参数或停止注浆。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（4）在注浆完成后，拆除注浆设备，并对采空区内进行监测和检查，评价注浆效果和安全性。如果发现漏风仍然存在或增大，应及时进行补充注浆或采取其他措施。</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8" w:name="_Toc5126"/>
      <w:r>
        <w:rPr>
          <w:rFonts w:hint="eastAsia" w:ascii="黑体" w:hAnsi="黑体" w:cs="黑体"/>
          <w:sz w:val="28"/>
          <w:szCs w:val="28"/>
          <w:lang w:val="en-US" w:eastAsia="zh-CN"/>
        </w:rPr>
        <w:t>4</w:t>
      </w:r>
      <w:r>
        <w:rPr>
          <w:rFonts w:hint="default" w:ascii="黑体" w:hAnsi="黑体" w:eastAsia="黑体" w:cs="黑体"/>
          <w:sz w:val="28"/>
          <w:szCs w:val="28"/>
          <w:lang w:val="en-US" w:eastAsia="zh-CN"/>
        </w:rPr>
        <w:t>.4 阻化剂喷洒技术</w:t>
      </w:r>
      <w:bookmarkEnd w:id="38"/>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（1）根据采空区的形态、大小、漏风量等因素，确定阻化剂的种类、数量、浓度、喷洒位置、时间等参数。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（2）在采空区内设置喷洒点或喷洒管道，连接阻化剂储罐和泵站，按照预定的参数进行阻化剂喷洒。</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（3）在喷洒过程中，监测采空区内遗煤的温度、氧浓度、氧化反应速率等参数，及时调整阻化剂喷洒的参数，以达到最佳阻化效果。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（4）在喷洒结束后，对采空区内遗煤进行检查和评价，确定阻化剂喷洒的效果和安全性。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阻化剂喷洒技术的主要优点如下：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（1）阻化剂喷洒技术可以改变遗煤的物理化学性质，降低其可自然发火性，延缓或抑制氧化反应的进行。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（3）阻化剂喷洒技术可以适应不同形态和大小的采空区，操作简单方便，成本较低。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阻化剂喷洒技术的主要缺点如下：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（1）阻化剂喷洒技术需要选用合适的阻化剂材料，以免污染井下空气和危害人体健康。</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（2）阻化剂喷洒技术需要考虑阻化剂对机械设备、支架等金属构件的腐蚀作用，并采取相应的防护措施。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（3）阻化剂喷洒技术需要根据实际情况及时调整阻化剂喷洒的参数，以免造成过量或不足的情况。</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9" w:name="_Toc15984"/>
      <w:r>
        <w:rPr>
          <w:rFonts w:hint="eastAsia" w:ascii="黑体" w:hAnsi="黑体" w:cs="黑体"/>
          <w:sz w:val="28"/>
          <w:szCs w:val="28"/>
          <w:lang w:val="en-US" w:eastAsia="zh-CN"/>
        </w:rPr>
        <w:t>4</w:t>
      </w:r>
      <w:r>
        <w:rPr>
          <w:rFonts w:hint="default" w:ascii="黑体" w:hAnsi="黑体" w:eastAsia="黑体" w:cs="黑体"/>
          <w:sz w:val="28"/>
          <w:szCs w:val="28"/>
          <w:lang w:val="en-US" w:eastAsia="zh-CN"/>
        </w:rPr>
        <w:t>.5 监测预警技术</w:t>
      </w:r>
      <w:bookmarkEnd w:id="39"/>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监测预警技术的主要内容包括以下几个方面：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黑体" w:hAnsi="黑体" w:eastAsia="黑体" w:cs="黑体"/>
          <w:b/>
          <w:kern w:val="44"/>
          <w:sz w:val="30"/>
          <w:szCs w:val="30"/>
          <w:lang w:val="en-US" w:eastAsia="zh-CN" w:bidi="ar-SA"/>
        </w:rPr>
      </w:pPr>
      <w:r>
        <w:rPr>
          <w:rFonts w:hint="default" w:ascii="宋体" w:hAnsi="宋体" w:cs="宋体" w:eastAsiaTheme="minorEastAsia"/>
          <w:color w:val="111111"/>
          <w:kern w:val="0"/>
          <w:sz w:val="24"/>
          <w:szCs w:val="24"/>
          <w:lang w:val="en-US" w:eastAsia="zh-CN"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40" w:name="_Toc12978"/>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5</w:t>
      </w:r>
      <w:r>
        <w:rPr>
          <w:rFonts w:hint="default" w:ascii="黑体" w:hAnsi="黑体" w:eastAsia="黑体" w:cs="黑体"/>
          <w:b/>
          <w:kern w:val="44"/>
          <w:sz w:val="30"/>
          <w:szCs w:val="30"/>
          <w:lang w:val="en-US" w:eastAsia="zh-CN" w:bidi="ar-SA"/>
        </w:rPr>
        <w:t>章 结论与展望</w:t>
      </w:r>
      <w:bookmarkEnd w:id="40"/>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（3）沿空留巷综合防灭火技术方案主要包括以下几个方面：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一是漏风控制技术，通过加固沿空留巷墙体、设置堵塞墙、改变通风系统等方式，减少漏风量，降低氧浓度，抑制遗煤氧化反应；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二是注氮技术，通过在采空区内设置注氮点或注氮管道等方式，在遗煤表面形成一层低氧环境，抑制遗煤自然发火；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三是注浆技术，通过在采空区内设置注浆点或注浆管道等方式，在遗煤表面形成一层隔离层或填充裂隙等方式，阻断漏风通道和遗煤接触；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四是阻化剂喷洒技术，通过在采空区内设置喷洒点或喷洒管道等方式，在遗煤表面喷洒一定浓度的阻化剂液体或粉体等方式，改变遗煤的物理化学性质，降低其可自然发火性；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41" w:name="_Toc27552"/>
      <w:r>
        <w:rPr>
          <w:rFonts w:hint="eastAsia" w:ascii="黑体" w:hAnsi="黑体" w:eastAsia="黑体" w:cs="黑体"/>
          <w:b/>
          <w:kern w:val="44"/>
          <w:sz w:val="30"/>
          <w:szCs w:val="30"/>
          <w:lang w:val="en-US" w:eastAsia="zh-CN" w:bidi="ar-SA"/>
        </w:rPr>
        <w:t>参考文献</w:t>
      </w:r>
      <w:bookmarkEnd w:id="4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bookmarkStart w:id="42" w:name="_ENREF_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康志鹏. 古城煤矿综放工作面厚煤层软底沿空留巷技术研究 [D]; 中国矿业大学, 2021.</w:t>
      </w:r>
      <w:bookmarkEnd w:id="4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3" w:name="_ENREF_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邢继亮. 屯兰矿大断面巷道沿空留巷技术研究 [D]; 中国矿业大学（北京）, 2013.</w:t>
      </w:r>
      <w:bookmarkEnd w:id="4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4" w:name="_ENREF_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费旭敏. 我国沿空留巷支护技术现状及存在的问题探讨 [J]. 中国科技信息, 2008, (07): 48-9+51.</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5" w:name="_ENREF_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万岩. 低龄期柔模承载混凝土强度试验与增长规律研究 [D]; 西安科技大学, 2012.</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6" w:name="_ENREF_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张智强. 双突矿井中柔模混凝土沿空留巷应用研究 [D]; 西安科技大学, 2012.</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7" w:name="_ENREF_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王永福. 揉模填充工艺在巷旁支护中的应用 [J]. 陕西煤炭, 2016, 35(03): 70-3.</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8" w:name="_ENREF_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花锦波. 近距重复采动无墙体沿空留巷围岩稳定与控制技术 [D]; 中国矿业大学, 2015.</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9" w:name="_ENREF_8"/>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杨帆. 海石湾煤矿6113工作面深部沿空留巷围岩控制技术研究 [D]; 中国矿业大学, 2015.</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0" w:name="_ENREF_9"/>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樊彦东. 高水巷旁充填沿空留巷技术应用研究 [D]; 河北工程大学, 2015.</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1" w:name="_ENREF_10"/>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马强. 高水充填沿空留巷支护优化设计 [D]; 河北工程大学,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2" w:name="_ENREF_11"/>
      <w:r>
        <w:rPr>
          <w:rFonts w:hint="eastAsia" w:asciiTheme="minorEastAsia" w:hAnsiTheme="minorEastAsia" w:eastAsiaTheme="minorEastAsia" w:cstheme="minorEastAsia"/>
          <w:sz w:val="21"/>
          <w:szCs w:val="21"/>
          <w:lang w:val="en-US" w:eastAsia="zh-CN"/>
        </w:rPr>
        <w:t>[11]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吴存良. 花山煤矿采煤工作面沿空留巷支护技术研究 [D]; 重庆大学, 2008.</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3" w:name="_ENREF_12"/>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阚甲广. 典型顶板条件沿空留巷围岩结构分析及控制技术研究 [D]; 中国矿业大学, 2009.</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4" w:name="_ENREF_13"/>
      <w:r>
        <w:rPr>
          <w:rFonts w:hint="eastAsia" w:asciiTheme="minorEastAsia" w:hAnsiTheme="minorEastAsia" w:eastAsiaTheme="minorEastAsia" w:cstheme="minorEastAsia"/>
          <w:sz w:val="21"/>
          <w:szCs w:val="21"/>
          <w:lang w:val="en-US" w:eastAsia="zh-CN"/>
        </w:rPr>
        <w:t>[13]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亓佳利. 薄煤层坚硬石灰岩顶板条件下沿空留巷技术研究及应用 [D]; 山东科技大学, 2011.</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5" w:name="_ENREF_14"/>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孙乐乐. 大倾角中厚煤层软弱顶底板沿空留巷 [D]; 重庆大学, 2012.</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6" w:name="_ENREF_15"/>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王勇. “三软”倾斜煤层沿空留巷巷旁支护技术研究 [D]; 重庆大学, 2012.</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7" w:name="_ENREF_16"/>
      <w:r>
        <w:rPr>
          <w:rFonts w:hint="eastAsia" w:asciiTheme="minorEastAsia" w:hAnsiTheme="minorEastAsia" w:eastAsiaTheme="minorEastAsia" w:cstheme="minorEastAsia"/>
          <w:sz w:val="21"/>
          <w:szCs w:val="21"/>
          <w:lang w:val="en-US" w:eastAsia="zh-CN"/>
        </w:rPr>
        <w:t>[16]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张飞. 混凝土预制块砌碹墙巷旁支护沿空留巷 [D]; 重庆大学, 2014.</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8" w:name="_ENREF_17"/>
      <w:r>
        <w:rPr>
          <w:rFonts w:hint="eastAsia" w:asciiTheme="minorEastAsia" w:hAnsiTheme="minorEastAsia" w:eastAsiaTheme="minorEastAsia" w:cstheme="minorEastAsia"/>
          <w:sz w:val="21"/>
          <w:szCs w:val="21"/>
          <w:lang w:val="en-US" w:eastAsia="zh-CN"/>
        </w:rPr>
        <w:t>[17]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张志义. 900m埋深沿空留巷复用机理与技术研究 [D]; 中国矿业大学, 2014.</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9" w:name="_ENREF_18"/>
      <w:r>
        <w:rPr>
          <w:rFonts w:hint="eastAsia" w:asciiTheme="minorEastAsia" w:hAnsiTheme="minorEastAsia" w:eastAsiaTheme="minorEastAsia" w:cstheme="minorEastAsia"/>
          <w:sz w:val="21"/>
          <w:szCs w:val="21"/>
          <w:lang w:val="en-US" w:eastAsia="zh-CN"/>
        </w:rPr>
        <w:t>[18]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刘洪洋. 采空区下沿空留巷顶板稳定性影响因素及控制对策 [D]; 中国矿业大学, 2014.</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0" w:name="_ENREF_19"/>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郭正超. 坚硬顶板预制混凝土大砌块沿空留巷技术研究及应用 [D]; 西安科技大学,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1" w:name="_ENREF_20"/>
      <w:r>
        <w:rPr>
          <w:rFonts w:hint="eastAsia" w:asciiTheme="minorEastAsia" w:hAnsiTheme="minorEastAsia" w:eastAsiaTheme="minorEastAsia" w:cstheme="minorEastAsia"/>
          <w:sz w:val="21"/>
          <w:szCs w:val="21"/>
          <w:lang w:val="en-US" w:eastAsia="zh-CN"/>
        </w:rPr>
        <w:t>[20]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周占松. 重载机车故障预测与健康管理技术体系架构研究与应用 [J]. 控制与信息技术, 2022, (06): 115-22.</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2" w:name="_ENREF_21"/>
      <w:r>
        <w:rPr>
          <w:rFonts w:hint="eastAsia" w:asciiTheme="minorEastAsia" w:hAnsiTheme="minorEastAsia" w:eastAsiaTheme="minorEastAsia" w:cstheme="minorEastAsia"/>
          <w:sz w:val="21"/>
          <w:szCs w:val="21"/>
          <w:lang w:val="en-US" w:eastAsia="zh-CN"/>
        </w:rPr>
        <w:t>[21]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王伟, 鹿文勇, 陈洋. 沿空留巷工作面综合防灭火技术 [J]. 煤矿安全, 2016, 47(04): 85-7.</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3" w:name="_ENREF_22"/>
      <w:r>
        <w:rPr>
          <w:rFonts w:hint="eastAsia" w:asciiTheme="minorEastAsia" w:hAnsiTheme="minorEastAsia" w:eastAsiaTheme="minorEastAsia" w:cstheme="minorEastAsia"/>
          <w:sz w:val="21"/>
          <w:szCs w:val="21"/>
          <w:lang w:val="en-US" w:eastAsia="zh-CN"/>
        </w:rPr>
        <w:t>[22]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道客巴巴. 沿空留巷技术 [Z]. 2018</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4" w:name="_ENREF_23"/>
      <w:r>
        <w:rPr>
          <w:rFonts w:hint="eastAsia" w:asciiTheme="minorEastAsia" w:hAnsiTheme="minorEastAsia" w:eastAsiaTheme="minorEastAsia" w:cstheme="minorEastAsia"/>
          <w:sz w:val="21"/>
          <w:szCs w:val="21"/>
          <w:lang w:val="en-US" w:eastAsia="zh-CN"/>
        </w:rPr>
        <w:t>[23]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张农. 深入实践、坚持创新、持续推动支护技术进步——2013年度煤矿支护专业委员会专家组工作报告 [J]. 煤矿支护, 2013, (4): 3.</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5" w:name="_ENREF_24"/>
      <w:r>
        <w:rPr>
          <w:rFonts w:hint="eastAsia" w:asciiTheme="minorEastAsia" w:hAnsiTheme="minorEastAsia" w:eastAsiaTheme="minorEastAsia" w:cstheme="minorEastAsia"/>
          <w:sz w:val="21"/>
          <w:szCs w:val="21"/>
          <w:lang w:val="en-US" w:eastAsia="zh-CN"/>
        </w:rPr>
        <w:t>[24]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孙云庆. 9~#煤层切顶卸压沿空留巷技术研究应用 [J]. 同煤科技, 2021, (06): 36-9.</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6" w:name="_ENREF_25"/>
      <w:r>
        <w:rPr>
          <w:rFonts w:hint="eastAsia" w:asciiTheme="minorEastAsia" w:hAnsiTheme="minorEastAsia" w:eastAsiaTheme="minorEastAsia" w:cstheme="minorEastAsia"/>
          <w:sz w:val="21"/>
          <w:szCs w:val="21"/>
          <w:lang w:val="en-US" w:eastAsia="zh-CN"/>
        </w:rPr>
        <w:t>[25]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国家矿山安全监察局. 国家矿山安全监察局关于印发《煤矿防灭火细则》的通知 [J]. 2021.</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7" w:name="_ENREF_26"/>
      <w:r>
        <w:rPr>
          <w:rFonts w:hint="eastAsia" w:asciiTheme="minorEastAsia" w:hAnsiTheme="minorEastAsia" w:eastAsiaTheme="minorEastAsia" w:cstheme="minorEastAsia"/>
          <w:sz w:val="21"/>
          <w:szCs w:val="21"/>
          <w:lang w:val="en-US" w:eastAsia="zh-CN"/>
        </w:rPr>
        <w:t>[26]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孟晓强. 云驾岭煤矿12305工作面沿空留巷技术应用研究 [D]; 河北工程大学, 2016.</w:t>
      </w:r>
      <w:bookmarkEnd w:id="6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sz w:val="21"/>
          <w:szCs w:val="21"/>
          <w:lang w:val="en-US" w:eastAsia="zh-CN"/>
        </w:rPr>
        <w:fldChar w:fldCharType="end"/>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kern w:val="0"/>
          <w:sz w:val="21"/>
          <w:szCs w:val="21"/>
          <w:lang w:val="en-US" w:eastAsia="zh-CN" w:bidi="ar"/>
        </w:rPr>
        <w:t>[27]</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魏淑艳, 杨大瀚. 中国地方政府安全生产的“监管空间”问题研究——基于31个危化品生产安全事故案例 [J]. 东北大学学报(社会科学版), 2017, 19(02): 173-9.</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[28]</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王卫国, 潘竟虎, 李俊峰. 基于空间Logistic的山西省火灾风险评价与火险区划 [J]. 草业科学, 2016, 33(04): 635-44.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[29]</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张朋. 煤矿应急救援无线传感器节点关键技术研究 [D]; 中国矿业大学, 2015.</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[30]</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康福钧. CO_2灭火技术的应用与评价 [J]. 华北科技学院学报, 2006, (01): 35-7.</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[31]</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邓声炜. 综合防灭火技术在煤矿中的应用 [J]. 内燃机与配件, 2017, (13): 107-10.</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b w:val="0"/>
          <w:i w:val="0"/>
          <w:sz w:val="21"/>
          <w:szCs w:val="21"/>
          <w:u w:val="none"/>
          <w:lang w:val="en-US" w:eastAsia="zh-CN"/>
        </w:rPr>
      </w:pPr>
    </w:p>
    <w:p>
      <w:pPr>
        <w:pStyle w:val="24"/>
        <w:keepNext w:val="0"/>
        <w:keepLines w:val="0"/>
        <w:pageBreakBefore w:val="0"/>
        <w:widowControl/>
        <w:kinsoku/>
        <w:wordWrap/>
        <w:overflowPunct/>
        <w:topLinePunct w:val="0"/>
        <w:autoSpaceDE/>
        <w:autoSpaceDN/>
        <w:bidi w:val="0"/>
        <w:adjustRightInd/>
        <w:snapToGrid/>
        <w:spacing w:before="60" w:line="320" w:lineRule="exact"/>
        <w:textAlignment w:val="auto"/>
        <w:rPr>
          <w:rFonts w:hint="eastAsia" w:eastAsia="宋体"/>
          <w:lang w:eastAsia="zh-CN"/>
        </w:rPr>
      </w:pPr>
      <w:r>
        <w:rPr>
          <w:rFonts w:hint="eastAsia" w:asciiTheme="minorEastAsia" w:hAnsiTheme="minorEastAsia" w:eastAsiaTheme="minorEastAsia" w:cstheme="minorEastAsia"/>
          <w:sz w:val="21"/>
          <w:szCs w:val="21"/>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68" w:name="_Toc28454"/>
      <w:r>
        <w:rPr>
          <w:rFonts w:hint="default" w:ascii="黑体" w:hAnsi="黑体" w:eastAsia="黑体" w:cs="黑体"/>
          <w:b/>
          <w:kern w:val="44"/>
          <w:sz w:val="30"/>
          <w:szCs w:val="30"/>
          <w:lang w:val="en-US" w:eastAsia="zh-CN" w:bidi="ar-SA"/>
        </w:rPr>
        <w:t>致谢</w:t>
      </w:r>
      <w:bookmarkEnd w:id="68"/>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69" w:name="_Toc19282"/>
      <w:r>
        <w:rPr>
          <w:rFonts w:hint="eastAsia" w:ascii="黑体" w:hAnsi="黑体" w:eastAsia="黑体" w:cs="黑体"/>
          <w:b/>
          <w:kern w:val="44"/>
          <w:sz w:val="30"/>
          <w:szCs w:val="30"/>
          <w:lang w:val="en-US" w:eastAsia="zh-CN" w:bidi="ar-SA"/>
        </w:rPr>
        <w:t>附录</w:t>
      </w:r>
      <w:bookmarkEnd w:id="69"/>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sectPr>
      <w:headerReference r:id="rId10" w:type="default"/>
      <w:footerReference r:id="rId11" w:type="default"/>
      <w:pgSz w:w="11906" w:h="16838"/>
      <w:pgMar w:top="1417"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record-ids&gt;&lt;/item&gt;&lt;/Libraries&gt;"/>
  </w:docVars>
  <w:rsids>
    <w:rsidRoot w:val="7DAC3D8E"/>
    <w:rsid w:val="023419F2"/>
    <w:rsid w:val="02601D0D"/>
    <w:rsid w:val="02BC7D06"/>
    <w:rsid w:val="038C1C75"/>
    <w:rsid w:val="05893603"/>
    <w:rsid w:val="07C51ECC"/>
    <w:rsid w:val="0B1E7BB7"/>
    <w:rsid w:val="0BDE2B08"/>
    <w:rsid w:val="0C9C33B5"/>
    <w:rsid w:val="0D9C7A64"/>
    <w:rsid w:val="0DE63E89"/>
    <w:rsid w:val="0FDB1B17"/>
    <w:rsid w:val="10B13DFD"/>
    <w:rsid w:val="10C16D46"/>
    <w:rsid w:val="11443BB2"/>
    <w:rsid w:val="11D62D84"/>
    <w:rsid w:val="11EE5E5F"/>
    <w:rsid w:val="12174F59"/>
    <w:rsid w:val="1223541C"/>
    <w:rsid w:val="12332D48"/>
    <w:rsid w:val="126070C9"/>
    <w:rsid w:val="12BE3F64"/>
    <w:rsid w:val="13022220"/>
    <w:rsid w:val="13401180"/>
    <w:rsid w:val="136F390E"/>
    <w:rsid w:val="13A57D13"/>
    <w:rsid w:val="144048B5"/>
    <w:rsid w:val="148326DF"/>
    <w:rsid w:val="15DB2014"/>
    <w:rsid w:val="160A51E5"/>
    <w:rsid w:val="17FB394E"/>
    <w:rsid w:val="18075331"/>
    <w:rsid w:val="1864257A"/>
    <w:rsid w:val="18A25EE0"/>
    <w:rsid w:val="18D25AD0"/>
    <w:rsid w:val="190F1C45"/>
    <w:rsid w:val="1B4D11D6"/>
    <w:rsid w:val="1BA809D0"/>
    <w:rsid w:val="1C69096F"/>
    <w:rsid w:val="1E344EE0"/>
    <w:rsid w:val="1E7840F1"/>
    <w:rsid w:val="1FA40BAD"/>
    <w:rsid w:val="1FD07C7A"/>
    <w:rsid w:val="1FF76DC8"/>
    <w:rsid w:val="20F01B92"/>
    <w:rsid w:val="20F517AE"/>
    <w:rsid w:val="212D1AE2"/>
    <w:rsid w:val="24925A8E"/>
    <w:rsid w:val="24A44C1F"/>
    <w:rsid w:val="25BD7D93"/>
    <w:rsid w:val="26773834"/>
    <w:rsid w:val="26B93129"/>
    <w:rsid w:val="27EF40FF"/>
    <w:rsid w:val="2B581FDB"/>
    <w:rsid w:val="2C251A9A"/>
    <w:rsid w:val="2C4B00D6"/>
    <w:rsid w:val="2D202ABC"/>
    <w:rsid w:val="2DFE0121"/>
    <w:rsid w:val="2E1D3EA8"/>
    <w:rsid w:val="2FC11E02"/>
    <w:rsid w:val="30293A23"/>
    <w:rsid w:val="303000C3"/>
    <w:rsid w:val="30ED010F"/>
    <w:rsid w:val="310B5B07"/>
    <w:rsid w:val="314503CA"/>
    <w:rsid w:val="318432C3"/>
    <w:rsid w:val="31DE35AB"/>
    <w:rsid w:val="32DB62B1"/>
    <w:rsid w:val="33370D66"/>
    <w:rsid w:val="33A304C2"/>
    <w:rsid w:val="34C80925"/>
    <w:rsid w:val="37906A90"/>
    <w:rsid w:val="38BA586D"/>
    <w:rsid w:val="3AC73AEA"/>
    <w:rsid w:val="3B2B77E9"/>
    <w:rsid w:val="3BCA46B5"/>
    <w:rsid w:val="3D391280"/>
    <w:rsid w:val="3D477BF1"/>
    <w:rsid w:val="3E66534E"/>
    <w:rsid w:val="409C4268"/>
    <w:rsid w:val="40D07EFD"/>
    <w:rsid w:val="410E524D"/>
    <w:rsid w:val="41462955"/>
    <w:rsid w:val="4159666E"/>
    <w:rsid w:val="42091F6D"/>
    <w:rsid w:val="42520313"/>
    <w:rsid w:val="428C4AFC"/>
    <w:rsid w:val="42A50854"/>
    <w:rsid w:val="433242A2"/>
    <w:rsid w:val="43525C04"/>
    <w:rsid w:val="43830000"/>
    <w:rsid w:val="438C7E31"/>
    <w:rsid w:val="43EB4164"/>
    <w:rsid w:val="441403C1"/>
    <w:rsid w:val="45767B67"/>
    <w:rsid w:val="47315138"/>
    <w:rsid w:val="47452A6F"/>
    <w:rsid w:val="474F778A"/>
    <w:rsid w:val="476357A9"/>
    <w:rsid w:val="47B240C0"/>
    <w:rsid w:val="47F24BFD"/>
    <w:rsid w:val="486F4560"/>
    <w:rsid w:val="48F85996"/>
    <w:rsid w:val="49A23289"/>
    <w:rsid w:val="4A041FF5"/>
    <w:rsid w:val="4B9F32EE"/>
    <w:rsid w:val="4BC42EBE"/>
    <w:rsid w:val="4BC86B00"/>
    <w:rsid w:val="4C5C7746"/>
    <w:rsid w:val="4CE7575B"/>
    <w:rsid w:val="4F9D7312"/>
    <w:rsid w:val="4FAE4DC4"/>
    <w:rsid w:val="50D61885"/>
    <w:rsid w:val="50F30DF8"/>
    <w:rsid w:val="511B18C1"/>
    <w:rsid w:val="52394976"/>
    <w:rsid w:val="52F8470B"/>
    <w:rsid w:val="5471773A"/>
    <w:rsid w:val="54880DC3"/>
    <w:rsid w:val="54D3260C"/>
    <w:rsid w:val="56637A51"/>
    <w:rsid w:val="56B72CD0"/>
    <w:rsid w:val="57315831"/>
    <w:rsid w:val="57D96BC4"/>
    <w:rsid w:val="583461EE"/>
    <w:rsid w:val="584B226F"/>
    <w:rsid w:val="59636DC2"/>
    <w:rsid w:val="5A07278A"/>
    <w:rsid w:val="5B842184"/>
    <w:rsid w:val="5B8459EC"/>
    <w:rsid w:val="5BA83813"/>
    <w:rsid w:val="5BBA3705"/>
    <w:rsid w:val="5C030BB0"/>
    <w:rsid w:val="5CC52489"/>
    <w:rsid w:val="5D117BBA"/>
    <w:rsid w:val="5DF119F7"/>
    <w:rsid w:val="60086228"/>
    <w:rsid w:val="61333E65"/>
    <w:rsid w:val="6203165D"/>
    <w:rsid w:val="625C5378"/>
    <w:rsid w:val="62865D12"/>
    <w:rsid w:val="645178F5"/>
    <w:rsid w:val="64826AB3"/>
    <w:rsid w:val="650C60B6"/>
    <w:rsid w:val="65931376"/>
    <w:rsid w:val="66C07382"/>
    <w:rsid w:val="678E0C11"/>
    <w:rsid w:val="69A316EF"/>
    <w:rsid w:val="69D91456"/>
    <w:rsid w:val="6BBD6735"/>
    <w:rsid w:val="6BCD02EE"/>
    <w:rsid w:val="6BCF6FD0"/>
    <w:rsid w:val="6C9A24CC"/>
    <w:rsid w:val="6D833F8C"/>
    <w:rsid w:val="6E1569CE"/>
    <w:rsid w:val="6F0A7FBC"/>
    <w:rsid w:val="6F0C5B72"/>
    <w:rsid w:val="6FF679F4"/>
    <w:rsid w:val="71535B1B"/>
    <w:rsid w:val="717265A9"/>
    <w:rsid w:val="717A0470"/>
    <w:rsid w:val="73261BE5"/>
    <w:rsid w:val="737570ED"/>
    <w:rsid w:val="75172432"/>
    <w:rsid w:val="75C355FA"/>
    <w:rsid w:val="76274571"/>
    <w:rsid w:val="76346ED5"/>
    <w:rsid w:val="767E7C92"/>
    <w:rsid w:val="77F11399"/>
    <w:rsid w:val="78FB69B7"/>
    <w:rsid w:val="79E829C1"/>
    <w:rsid w:val="79F82936"/>
    <w:rsid w:val="7A90769B"/>
    <w:rsid w:val="7B667DFB"/>
    <w:rsid w:val="7D2E5BC5"/>
    <w:rsid w:val="7DAC3D8E"/>
    <w:rsid w:val="7EC300F0"/>
    <w:rsid w:val="7F0226EB"/>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unhideWhenUsed/>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3 Char"/>
    <w:link w:val="4"/>
    <w:qFormat/>
    <w:uiPriority w:val="0"/>
    <w:rPr>
      <w:b/>
      <w:sz w:val="32"/>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EndNote Bibliography"/>
    <w:basedOn w:val="1"/>
    <w:qFormat/>
    <w:uiPriority w:val="0"/>
    <w:rPr>
      <w:sz w:val="24"/>
    </w:rPr>
  </w:style>
  <w:style w:type="paragraph" w:customStyle="1" w:styleId="25">
    <w:name w:val="EndNote Bibliography Title"/>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12821</Words>
  <Characters>14263</Characters>
  <Lines>0</Lines>
  <Paragraphs>0</Paragraphs>
  <TotalTime>0</TotalTime>
  <ScaleCrop>false</ScaleCrop>
  <LinksUpToDate>false</LinksUpToDate>
  <CharactersWithSpaces>15673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2023-05-09T01:43:47Z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