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关键词：几何主动搜索；交会定位；最小包围圆；25点覆盖；双侧区间定位；清除证书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10.7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最终版本：为什么选G25OR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两两差异均不显著（p&gt;0.17）。因此选择G25OR：它修复了首次示向三角形的严格外包缺口，同时官方成绩与G25O、G25O-R full等价；G25O-R full的额外复杂度和程序运行时间没有换来统计显著的速度提升。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full各100+100局全部清除，三版本平均时间无显著差异；G25OR在保持数学严格外包修复的同时成绩等价，因此作为最终方案。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