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sz w:val="32"/>
        </w:rPr>
        <w:t>AI工具使用详情</w:t>
      </w:r>
    </w:p>
    <w:p>
      <w:pPr>
        <w:spacing w:before="160" w:after="80"/>
      </w:pPr>
      <w:r>
        <w:rPr>
          <w:b/>
          <w:sz w:val="28"/>
        </w:rPr>
        <w:t>一、使用范围</w:t>
      </w:r>
    </w:p>
    <w:p>
      <w:pPr>
        <w:ind w:firstLine="480"/>
      </w:pPr>
      <w:r>
        <w:rPr>
          <w:sz w:val="24"/>
        </w:rPr>
        <w:t>本参赛队在竞赛过程中使用了通用大语言模型辅助工具，仅用于以下辅助性工作：</w:t>
      </w:r>
    </w:p>
    <w:p>
      <w:pPr>
        <w:ind w:left="420" w:firstLine="0"/>
      </w:pPr>
      <w:r>
        <w:rPr>
          <w:sz w:val="24"/>
        </w:rPr>
        <w:t>1. 赛题条件与各小问关系的梳理，辅助形成问题分析提纲；</w:t>
      </w:r>
    </w:p>
    <w:p>
      <w:pPr>
        <w:ind w:left="420" w:firstLine="0"/>
      </w:pPr>
      <w:r>
        <w:rPr>
          <w:sz w:val="24"/>
        </w:rPr>
        <w:t>2. 候选模型、算法和公开文献线索的检索与比较；</w:t>
      </w:r>
    </w:p>
    <w:p>
      <w:pPr>
        <w:ind w:left="420" w:firstLine="0"/>
      </w:pPr>
      <w:r>
        <w:rPr>
          <w:sz w:val="24"/>
        </w:rPr>
        <w:t>3. 代码框架设计、报错信息分析和单元测试思路讨论；</w:t>
      </w:r>
    </w:p>
    <w:p>
      <w:pPr>
        <w:ind w:left="420" w:firstLine="0"/>
      </w:pPr>
      <w:r>
        <w:rPr>
          <w:sz w:val="24"/>
        </w:rPr>
        <w:t>4. 图表坐标、图例、单位和版式的检查建议；</w:t>
      </w:r>
    </w:p>
    <w:p>
      <w:pPr>
        <w:ind w:left="420" w:firstLine="0"/>
      </w:pPr>
      <w:r>
        <w:rPr>
          <w:sz w:val="24"/>
        </w:rPr>
        <w:t>5. 论文语言润色、摘要提炼和格式一致性核对。</w:t>
      </w:r>
    </w:p>
    <w:p>
      <w:pPr>
        <w:spacing w:before="160" w:after="80"/>
      </w:pPr>
      <w:r>
        <w:rPr>
          <w:b/>
          <w:sz w:val="28"/>
        </w:rPr>
        <w:t>二、未用于的事项</w:t>
      </w:r>
    </w:p>
    <w:p>
      <w:pPr>
        <w:ind w:left="420" w:firstLine="0"/>
      </w:pPr>
      <w:r>
        <w:rPr>
          <w:sz w:val="24"/>
        </w:rPr>
        <w:t>1. 未使用AI工具生成、篡改或虚构任何实验数据、模拟器记录和数值结果；</w:t>
      </w:r>
    </w:p>
    <w:p>
      <w:pPr>
        <w:ind w:left="420" w:firstLine="0"/>
      </w:pPr>
      <w:r>
        <w:rPr>
          <w:sz w:val="24"/>
        </w:rPr>
        <w:t>2. 未使用AI工具代替参赛队进行模型推导、代码运行和结果核验；</w:t>
      </w:r>
    </w:p>
    <w:p>
      <w:pPr>
        <w:ind w:left="420" w:firstLine="0"/>
      </w:pPr>
      <w:r>
        <w:rPr>
          <w:sz w:val="24"/>
        </w:rPr>
        <w:t>3. 未将任何AI工具列为普通参考文献；</w:t>
      </w:r>
    </w:p>
    <w:p>
      <w:pPr>
        <w:ind w:left="420" w:firstLine="0"/>
      </w:pPr>
      <w:r>
        <w:rPr>
          <w:sz w:val="24"/>
        </w:rPr>
        <w:t>4. 未在论文摘要、正文、附录、代码、截图或文件属性中写入参赛者身份信息。</w:t>
      </w:r>
    </w:p>
    <w:p>
      <w:pPr>
        <w:spacing w:before="160" w:after="80"/>
      </w:pPr>
      <w:r>
        <w:rPr>
          <w:b/>
          <w:sz w:val="28"/>
        </w:rPr>
        <w:t>三、人工核验方式</w:t>
      </w:r>
    </w:p>
    <w:p>
      <w:pPr>
        <w:ind w:left="420" w:firstLine="0"/>
      </w:pPr>
      <w:r>
        <w:rPr>
          <w:sz w:val="24"/>
        </w:rPr>
        <w:t>1. 所有公式均由参赛队独立推导，并对关键上界进行解析证明和20万级采样检验；</w:t>
      </w:r>
    </w:p>
    <w:p>
      <w:pPr>
        <w:ind w:left="420" w:firstLine="0"/>
      </w:pPr>
      <w:r>
        <w:rPr>
          <w:sz w:val="24"/>
        </w:rPr>
        <w:t>2. 所有程序均在本地运行，覆盖构造核验、双侧定位核验、800局严格配对和官方模拟器100+100局演练均保留原始日志；</w:t>
      </w:r>
    </w:p>
    <w:p>
      <w:pPr>
        <w:ind w:left="420" w:firstLine="0"/>
      </w:pPr>
      <w:r>
        <w:rPr>
          <w:sz w:val="24"/>
        </w:rPr>
        <w:t>3. 论文中每个数值均与数据记录文件交叉核对，正式测试相关数据保持待填状态；</w:t>
      </w:r>
    </w:p>
    <w:p>
      <w:pPr>
        <w:ind w:left="420" w:firstLine="0"/>
      </w:pPr>
      <w:r>
        <w:rPr>
          <w:sz w:val="24"/>
        </w:rPr>
        <w:t>4. 最终论文由参赛队通读，对模型逻辑、图表含义、结论边界和格式规范负责。</w:t>
      </w:r>
    </w:p>
    <w:p>
      <w:pPr>
        <w:spacing w:before="160" w:after="80"/>
      </w:pPr>
      <w:r>
        <w:rPr>
          <w:b/>
          <w:sz w:val="28"/>
        </w:rPr>
        <w:t>四、责任声明</w:t>
      </w:r>
    </w:p>
    <w:p>
      <w:pPr>
        <w:ind w:firstLine="480"/>
      </w:pPr>
      <w:r>
        <w:rPr>
          <w:sz w:val="24"/>
        </w:rPr>
        <w:t>AI工具提供的内容仅作为辅助参考，不构成论文结论、实验数据或算法正确性的依据。论文的模型选择、算法实现、实验执行、数据解释和最终文本均由参赛队独立完成并承担责任。</w:t>
      </w:r>
    </w:p>
    <w:p>
      <w:pPr>
        <w:ind w:firstLine="480"/>
      </w:pPr>
      <w:r>
        <w:rPr>
          <w:sz w:val="24"/>
        </w:rPr>
        <w:t>（本文件为独立支撑材料，内容不含参赛者、学校、赛区或指导教师信息。）</w:t>
      </w:r>
    </w:p>
    <w:sectPr w:rsidR="00FC693F" w:rsidRPr="0006063C" w:rsidSect="00034616">
      <w:footerReference w:type="default" r:id="rId9"/>
      <w:pgSz w:w="11906" w:h="16838"/>
      <w:pgMar w:top="1474" w:right="1474" w:bottom="147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