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A0AE9">
      <w:pPr>
        <w:pStyle w:val="18"/>
        <w:snapToGrid w:val="0"/>
        <w:spacing w:after="0" w:line="440" w:lineRule="atLeast"/>
        <w:rPr>
          <w:rFonts w:hint="eastAsia"/>
          <w:sz w:val="28"/>
          <w:u w:val="single"/>
        </w:rPr>
      </w:pPr>
      <w:bookmarkStart w:id="47" w:name="_GoBack"/>
      <w:bookmarkEnd w:id="47"/>
      <w:r>
        <w:rPr>
          <w:rFonts w:ascii="仿宋_GB2312" w:eastAsia="仿宋_GB2312"/>
          <w:b/>
          <w:sz w:val="22"/>
        </w:rPr>
        <w:t xml:space="preserve">                                                                                             </w:t>
      </w:r>
      <w:r>
        <w:rPr>
          <w:rFonts w:hint="eastAsia"/>
          <w:sz w:val="28"/>
        </w:rPr>
        <w:t>评分：</w:t>
      </w:r>
      <w:r>
        <w:rPr>
          <w:sz w:val="28"/>
        </w:rPr>
        <w:t>_______</w:t>
      </w:r>
    </w:p>
    <w:p w14:paraId="7E915D7D">
      <w:pPr>
        <w:pStyle w:val="18"/>
        <w:snapToGrid w:val="0"/>
        <w:spacing w:after="0" w:line="440" w:lineRule="atLeast"/>
        <w:ind w:firstLine="1260" w:firstLineChars="600"/>
        <w:rPr>
          <w:sz w:val="22"/>
          <w:u w:val="single"/>
        </w:rPr>
      </w:pPr>
      <w:r>
        <w:t xml:space="preserve">               </w:t>
      </w:r>
    </w:p>
    <w:p w14:paraId="135A995F">
      <w:pPr>
        <w:pStyle w:val="18"/>
        <w:snapToGrid w:val="0"/>
        <w:spacing w:after="0" w:line="440" w:lineRule="atLeast"/>
        <w:jc w:val="center"/>
        <w:rPr>
          <w:sz w:val="22"/>
        </w:rPr>
      </w:pPr>
    </w:p>
    <w:p w14:paraId="62431B46">
      <w:pPr>
        <w:jc w:val="center"/>
        <w:rPr>
          <w:b/>
          <w:bCs/>
          <w:sz w:val="72"/>
        </w:rPr>
      </w:pPr>
      <w:r>
        <w:rPr>
          <w:rFonts w:hint="eastAsia"/>
          <w:b/>
          <w:bCs/>
          <w:sz w:val="72"/>
        </w:rPr>
        <w:t>《Python数据分析编程》</w:t>
      </w:r>
    </w:p>
    <w:p w14:paraId="437A2DFD">
      <w:pPr>
        <w:jc w:val="center"/>
        <w:rPr>
          <w:sz w:val="52"/>
        </w:rPr>
      </w:pPr>
      <w:r>
        <w:rPr>
          <w:rFonts w:hint="eastAsia"/>
          <w:b/>
          <w:bCs/>
          <w:sz w:val="72"/>
        </w:rPr>
        <w:t>项目报告</w:t>
      </w:r>
    </w:p>
    <w:p w14:paraId="4143096B">
      <w:pPr>
        <w:jc w:val="center"/>
        <w:rPr>
          <w:rFonts w:ascii="黑体" w:hAnsi="黑体" w:eastAsia="黑体"/>
          <w:b/>
          <w:sz w:val="36"/>
          <w:szCs w:val="36"/>
        </w:rPr>
      </w:pPr>
    </w:p>
    <w:p w14:paraId="43CD24CA">
      <w:pPr>
        <w:jc w:val="center"/>
        <w:rPr>
          <w:rFonts w:ascii="黑体" w:hAnsi="黑体" w:eastAsia="黑体"/>
          <w:b/>
          <w:sz w:val="36"/>
          <w:szCs w:val="36"/>
        </w:rPr>
      </w:pPr>
    </w:p>
    <w:p w14:paraId="300927D6">
      <w:pPr>
        <w:jc w:val="center"/>
        <w:rPr>
          <w:rFonts w:ascii="黑体" w:hAnsi="黑体" w:eastAsia="黑体" w:cs="黑体"/>
          <w:b/>
          <w:bCs/>
          <w:sz w:val="36"/>
          <w:szCs w:val="36"/>
        </w:rPr>
      </w:pPr>
      <w:bookmarkStart w:id="0" w:name="_Hlk150794104"/>
      <w:r>
        <w:rPr>
          <w:rFonts w:hint="eastAsia" w:ascii="黑体" w:hAnsi="黑体" w:eastAsia="黑体"/>
          <w:b/>
          <w:sz w:val="36"/>
          <w:szCs w:val="36"/>
        </w:rPr>
        <w:t xml:space="preserve">  报告题目</w:t>
      </w:r>
    </w:p>
    <w:p w14:paraId="197E6E88">
      <w:pPr>
        <w:spacing w:before="200" w:after="0"/>
        <w:jc w:val="center"/>
      </w:pPr>
      <w:r>
        <w:rPr>
          <w:rFonts w:ascii="黑体" w:hAnsi="黑体" w:eastAsia="黑体"/>
          <w:b/>
          <w:sz w:val="40"/>
        </w:rPr>
        <w:t>车辆物联网遥测数据分析与告警识别</w:t>
      </w:r>
    </w:p>
    <w:p w14:paraId="4AC0BD67">
      <w:pPr>
        <w:spacing w:before="120"/>
        <w:jc w:val="center"/>
      </w:pPr>
      <w:r>
        <w:rPr>
          <w:rFonts w:ascii="宋体" w:hAnsi="宋体" w:eastAsia="宋体"/>
          <w:b w:val="0"/>
          <w:color w:val="555F6B"/>
          <w:sz w:val="24"/>
        </w:rPr>
        <w:t>（第 19 组　题目二）</w:t>
      </w:r>
    </w:p>
    <w:bookmarkEnd w:id="0"/>
    <w:p w14:paraId="6143262C">
      <w:pPr>
        <w:snapToGrid w:val="0"/>
        <w:spacing w:line="440" w:lineRule="atLeast"/>
        <w:rPr>
          <w:b/>
          <w:sz w:val="36"/>
        </w:rPr>
      </w:pPr>
    </w:p>
    <w:p w14:paraId="12BDF851">
      <w:pPr>
        <w:snapToGrid w:val="0"/>
        <w:spacing w:line="440" w:lineRule="atLeast"/>
        <w:rPr>
          <w:b/>
          <w:sz w:val="36"/>
        </w:rPr>
      </w:pPr>
    </w:p>
    <w:p w14:paraId="24133041">
      <w:pPr>
        <w:snapToGrid w:val="0"/>
        <w:spacing w:line="440" w:lineRule="atLeast"/>
        <w:rPr>
          <w:b/>
          <w:sz w:val="36"/>
        </w:rPr>
      </w:pPr>
    </w:p>
    <w:p w14:paraId="16020F92">
      <w:pPr>
        <w:snapToGrid w:val="0"/>
        <w:spacing w:line="440" w:lineRule="atLeast"/>
        <w:rPr>
          <w:b/>
          <w:sz w:val="36"/>
        </w:rPr>
      </w:pPr>
    </w:p>
    <w:p w14:paraId="1924E46D">
      <w:pPr>
        <w:snapToGrid w:val="0"/>
        <w:spacing w:line="440" w:lineRule="atLeast"/>
        <w:rPr>
          <w:b/>
          <w:sz w:val="36"/>
        </w:rPr>
      </w:pPr>
    </w:p>
    <w:p w14:paraId="5B9E83AA">
      <w:pPr>
        <w:snapToGrid w:val="0"/>
        <w:spacing w:line="440" w:lineRule="atLeast"/>
        <w:rPr>
          <w:b/>
          <w:sz w:val="36"/>
        </w:rPr>
      </w:pPr>
    </w:p>
    <w:p w14:paraId="6002EDE9">
      <w:pPr>
        <w:snapToGrid w:val="0"/>
        <w:spacing w:line="440" w:lineRule="atLeast"/>
        <w:rPr>
          <w:b/>
          <w:sz w:val="36"/>
        </w:rPr>
      </w:pPr>
    </w:p>
    <w:p w14:paraId="72D098F4">
      <w:pPr>
        <w:snapToGrid w:val="0"/>
        <w:spacing w:line="440" w:lineRule="atLeast"/>
        <w:rPr>
          <w:b/>
          <w:sz w:val="36"/>
        </w:rPr>
      </w:pPr>
    </w:p>
    <w:p w14:paraId="660692C8">
      <w:pPr>
        <w:snapToGrid w:val="0"/>
        <w:spacing w:line="440" w:lineRule="atLeast"/>
        <w:rPr>
          <w:rFonts w:hint="eastAsia"/>
          <w:b/>
          <w:sz w:val="36"/>
        </w:rPr>
      </w:pPr>
    </w:p>
    <w:p w14:paraId="681C4EF5">
      <w:pPr>
        <w:snapToGrid w:val="0"/>
        <w:spacing w:line="440" w:lineRule="atLeast"/>
        <w:rPr>
          <w:b/>
          <w:sz w:val="36"/>
        </w:rPr>
      </w:pPr>
    </w:p>
    <w:p w14:paraId="210DF934">
      <w:pPr>
        <w:snapToGrid w:val="0"/>
        <w:spacing w:line="440" w:lineRule="atLeast"/>
        <w:ind w:firstLine="1800"/>
        <w:rPr>
          <w:rFonts w:ascii="宋体"/>
          <w:b/>
          <w:sz w:val="32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325120</wp:posOffset>
                </wp:positionV>
                <wp:extent cx="1864995" cy="635"/>
                <wp:effectExtent l="0" t="0" r="0" b="0"/>
                <wp:wrapNone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499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162pt;margin-top:25.6pt;height:0.05pt;width:146.85pt;z-index:251659264;mso-width-relative:page;mso-height-relative:page;" filled="f" stroked="t" coordsize="21600,21600" o:allowincell="f" o:gfxdata="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37MvPdgAAAAJAQAADwAAAAAAAAABACAAAAAiAAAAZHJz&#10;L2Rvd25yZXYueG1sUEsBAhQAFAAAAAgAh07iQJNuzxbLAQAAoQMAAA4AAAAAAAAAAQAgAAAAJwEA&#10;AGRycy9lMm9Eb2MueG1sUEsFBgAAAAAGAAYAWQEAAGQ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b/>
          <w:sz w:val="32"/>
        </w:rPr>
        <w:t>学</w:t>
      </w:r>
      <w:r>
        <w:rPr>
          <w:rFonts w:ascii="宋体" w:hAnsi="宋体"/>
          <w:b/>
          <w:sz w:val="32"/>
        </w:rPr>
        <w:t xml:space="preserve">    </w:t>
      </w:r>
      <w:r>
        <w:rPr>
          <w:rFonts w:hint="eastAsia" w:ascii="宋体" w:hAnsi="宋体"/>
          <w:b/>
          <w:sz w:val="32"/>
        </w:rPr>
        <w:t>院</w:t>
      </w:r>
      <w:r>
        <w:rPr>
          <w:rFonts w:ascii="宋体" w:hAnsi="宋体"/>
          <w:b/>
          <w:sz w:val="32"/>
        </w:rPr>
        <w:t xml:space="preserve"> </w:t>
      </w:r>
      <w:r>
        <w:rPr>
          <w:rFonts w:hint="eastAsia" w:ascii="宋体" w:hAnsi="宋体"/>
          <w:b/>
          <w:sz w:val="32"/>
        </w:rPr>
        <w:t xml:space="preserve">    未来技术学院</w:t>
      </w:r>
    </w:p>
    <w:p w14:paraId="301DFE75">
      <w:pPr>
        <w:snapToGrid w:val="0"/>
        <w:spacing w:line="440" w:lineRule="atLeast"/>
        <w:ind w:firstLine="1800"/>
        <w:rPr>
          <w:rFonts w:ascii="宋体"/>
          <w:b/>
          <w:sz w:val="32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344170</wp:posOffset>
                </wp:positionV>
                <wp:extent cx="1864995" cy="635"/>
                <wp:effectExtent l="0" t="0" r="0" b="0"/>
                <wp:wrapNone/>
                <wp:docPr id="4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499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3" o:spid="_x0000_s1026" o:spt="20" style="position:absolute;left:0pt;margin-left:162pt;margin-top:27.1pt;height:0.05pt;width:146.85pt;z-index:251660288;mso-width-relative:page;mso-height-relative:page;" filled="f" stroked="t" coordsize="21600,21600" o:allowincell="f" o:gfxdata="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AiBvjYAAAACQEAAA8AAAAAAAAAAQAgAAAAIgAAAGRy&#10;cy9kb3ducmV2LnhtbFBLAQIUABQAAAAIAIdO4kAVWdkfzAEAAKEDAAAOAAAAAAAAAAEAIAAAACcB&#10;AABkcnMvZTJvRG9jLnhtbFBLBQYAAAAABgAGAFkBAABl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b/>
          <w:sz w:val="32"/>
        </w:rPr>
        <w:t>专</w:t>
      </w:r>
      <w:r>
        <w:rPr>
          <w:rFonts w:ascii="宋体" w:hAnsi="宋体"/>
          <w:b/>
          <w:sz w:val="32"/>
        </w:rPr>
        <w:t xml:space="preserve">    </w:t>
      </w:r>
      <w:r>
        <w:rPr>
          <w:rFonts w:hint="eastAsia" w:ascii="宋体" w:hAnsi="宋体"/>
          <w:b/>
          <w:sz w:val="32"/>
        </w:rPr>
        <w:t>业</w:t>
      </w:r>
      <w:r>
        <w:rPr>
          <w:rFonts w:ascii="宋体" w:hAnsi="宋体"/>
          <w:b/>
          <w:sz w:val="32"/>
        </w:rPr>
        <w:t xml:space="preserve"> </w:t>
      </w:r>
      <w:r>
        <w:rPr>
          <w:rFonts w:hint="eastAsia" w:ascii="宋体" w:hAnsi="宋体"/>
          <w:b/>
          <w:sz w:val="32"/>
        </w:rPr>
        <w:t xml:space="preserve">     人工智能</w:t>
      </w:r>
    </w:p>
    <w:p w14:paraId="09B79BAF">
      <w:pPr>
        <w:tabs>
          <w:tab w:val="left" w:pos="2700"/>
        </w:tabs>
        <w:snapToGrid w:val="0"/>
        <w:spacing w:line="440" w:lineRule="atLeast"/>
        <w:ind w:firstLine="1800"/>
        <w:rPr>
          <w:rFonts w:ascii="宋体"/>
          <w:b/>
          <w:sz w:val="32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325120</wp:posOffset>
                </wp:positionV>
                <wp:extent cx="1864995" cy="635"/>
                <wp:effectExtent l="0" t="0" r="0" b="0"/>
                <wp:wrapNone/>
                <wp:docPr id="6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499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4" o:spid="_x0000_s1026" o:spt="20" style="position:absolute;left:0pt;margin-left:162pt;margin-top:25.6pt;height:0.05pt;width:146.85pt;z-index:251661312;mso-width-relative:page;mso-height-relative:page;" filled="f" stroked="t" coordsize="21600,21600" o:allowincell="f" o:gfxdata="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N+zLz3YAAAACQEAAA8AAAAAAAAAAQAgAAAAIgAAAGRy&#10;cy9kb3ducmV2LnhtbFBLAQIUABQAAAAIAIdO4kBBDpe8zAEAAKEDAAAOAAAAAAAAAAEAIAAAACcB&#10;AABkcnMvZTJvRG9jLnhtbFBLBQYAAAAABgAGAFkBAABl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b/>
          <w:sz w:val="32"/>
        </w:rPr>
        <w:t>学</w:t>
      </w:r>
      <w:r>
        <w:rPr>
          <w:rFonts w:ascii="宋体" w:hAnsi="宋体"/>
          <w:b/>
          <w:sz w:val="32"/>
        </w:rPr>
        <w:t xml:space="preserve">    </w:t>
      </w:r>
      <w:r>
        <w:rPr>
          <w:rFonts w:hint="eastAsia" w:ascii="宋体" w:hAnsi="宋体"/>
          <w:b/>
          <w:sz w:val="32"/>
        </w:rPr>
        <w:t>号</w:t>
      </w:r>
      <w:r>
        <w:rPr>
          <w:rFonts w:ascii="宋体" w:hAnsi="宋体"/>
          <w:b/>
          <w:sz w:val="32"/>
        </w:rPr>
        <w:t xml:space="preserve"> </w:t>
      </w:r>
      <w:r>
        <w:rPr>
          <w:rFonts w:hint="eastAsia" w:ascii="宋体" w:hAnsi="宋体"/>
          <w:b/>
          <w:sz w:val="32"/>
        </w:rPr>
        <w:t xml:space="preserve">      25121595</w:t>
      </w:r>
    </w:p>
    <w:p w14:paraId="63DC3F7F">
      <w:pPr>
        <w:tabs>
          <w:tab w:val="left" w:pos="2700"/>
        </w:tabs>
        <w:snapToGrid w:val="0"/>
        <w:spacing w:line="440" w:lineRule="atLeast"/>
        <w:ind w:firstLine="1800"/>
        <w:rPr>
          <w:rFonts w:ascii="宋体"/>
          <w:b/>
          <w:sz w:val="32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327660</wp:posOffset>
                </wp:positionV>
                <wp:extent cx="1864995" cy="635"/>
                <wp:effectExtent l="0" t="0" r="0" b="0"/>
                <wp:wrapNone/>
                <wp:docPr id="8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499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" o:spid="_x0000_s1026" o:spt="20" style="position:absolute;left:0pt;margin-left:162pt;margin-top:25.8pt;height:0.05pt;width:146.85pt;z-index:251662336;mso-width-relative:page;mso-height-relative:page;" filled="f" stroked="t" coordsize="21600,21600" o:allowincell="f" o:gfxdata="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KrmF+zYAAAACQEAAA8AAAAAAAAAAQAgAAAAIgAAAGRy&#10;cy9kb3ducmV2LnhtbFBLAQIUABQAAAAIAIdO4kAkUZf7zAEAAKEDAAAOAAAAAAAAAAEAIAAAACcB&#10;AABkcnMvZTJvRG9jLnhtbFBLBQYAAAAABgAGAFkBAABl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b/>
          <w:sz w:val="32"/>
        </w:rPr>
        <w:t>学生姓名</w:t>
      </w:r>
      <w:r>
        <w:rPr>
          <w:rFonts w:ascii="宋体" w:hAnsi="宋体"/>
          <w:b/>
          <w:sz w:val="32"/>
        </w:rPr>
        <w:t xml:space="preserve"> </w:t>
      </w:r>
      <w:r>
        <w:rPr>
          <w:rFonts w:hint="eastAsia" w:ascii="宋体" w:hAnsi="宋体"/>
          <w:b/>
          <w:sz w:val="32"/>
        </w:rPr>
        <w:t xml:space="preserve">       周泽林（组长）</w:t>
      </w:r>
    </w:p>
    <w:p w14:paraId="137CCA73">
      <w:pPr>
        <w:tabs>
          <w:tab w:val="left" w:pos="2700"/>
        </w:tabs>
        <w:snapToGrid w:val="0"/>
        <w:spacing w:line="440" w:lineRule="atLeast"/>
        <w:ind w:firstLine="1800"/>
        <w:rPr>
          <w:rFonts w:ascii="宋体"/>
          <w:b/>
          <w:sz w:val="32"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325120</wp:posOffset>
                </wp:positionV>
                <wp:extent cx="1864995" cy="635"/>
                <wp:effectExtent l="0" t="0" r="0" b="0"/>
                <wp:wrapNone/>
                <wp:docPr id="10" name="Lin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499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6" o:spid="_x0000_s1026" o:spt="20" style="position:absolute;left:0pt;margin-left:162pt;margin-top:25.6pt;height:0.05pt;width:146.85pt;z-index:251663360;mso-width-relative:page;mso-height-relative:page;" filled="f" stroked="t" coordsize="21600,21600" o:allowincell="f" o:gfxdata="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N+zLz3YAAAACQEAAA8AAAAAAAAAAQAgAAAAIgAAAGRy&#10;cy9kb3ducmV2LnhtbFBLAQIUABQAAAAIAIdO4kDrq8SYzAEAAKIDAAAOAAAAAAAAAAEAIAAAACcB&#10;AABkcnMvZTJvRG9jLnhtbFBLBQYAAAAABgAGAFkBAABl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b/>
          <w:sz w:val="32"/>
        </w:rPr>
        <w:t>课</w:t>
      </w:r>
      <w:r>
        <w:rPr>
          <w:rFonts w:ascii="宋体" w:hAnsi="宋体"/>
          <w:b/>
          <w:sz w:val="32"/>
        </w:rPr>
        <w:t xml:space="preserve">    </w:t>
      </w:r>
      <w:r>
        <w:rPr>
          <w:rFonts w:hint="eastAsia" w:ascii="宋体" w:hAnsi="宋体"/>
          <w:b/>
          <w:sz w:val="32"/>
        </w:rPr>
        <w:t>程</w:t>
      </w:r>
      <w:r>
        <w:rPr>
          <w:rFonts w:ascii="宋体" w:hAnsi="宋体"/>
          <w:b/>
          <w:sz w:val="32"/>
        </w:rPr>
        <w:t xml:space="preserve"> </w:t>
      </w:r>
      <w:r>
        <w:rPr>
          <w:rFonts w:hint="eastAsia" w:ascii="宋体" w:hAnsi="宋体"/>
          <w:b/>
          <w:sz w:val="32"/>
        </w:rPr>
        <w:t xml:space="preserve">    Python 数据分析编程</w:t>
      </w:r>
    </w:p>
    <w:p w14:paraId="356F530D">
      <w:pPr>
        <w:snapToGrid w:val="0"/>
        <w:spacing w:line="440" w:lineRule="atLeast"/>
        <w:rPr>
          <w:rFonts w:ascii="宋体" w:hAnsi="宋体"/>
          <w:b/>
          <w:sz w:val="32"/>
        </w:rPr>
      </w:pPr>
      <w:r>
        <w:rPr>
          <w:rFonts w:hint="eastAsia" w:ascii="宋体" w:hAnsi="宋体"/>
          <w:b/>
          <w:sz w:val="32"/>
        </w:rPr>
        <w:br w:type="page"/>
      </w:r>
    </w:p>
    <w:sdt>
      <w:sdtPr>
        <w:rPr>
          <w:lang w:val="zh-CN"/>
        </w:rPr>
        <w:id w:val="1186711774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color w:val="auto"/>
          <w:kern w:val="2"/>
          <w:sz w:val="21"/>
          <w:szCs w:val="24"/>
          <w:lang w:val="en-US"/>
        </w:rPr>
      </w:sdtEndPr>
      <w:sdtContent>
        <w:p w14:paraId="33FE81DD">
          <w:pPr>
            <w:pStyle w:val="21"/>
            <w:jc w:val="center"/>
            <w:rPr>
              <w:sz w:val="36"/>
              <w:szCs w:val="36"/>
            </w:rPr>
          </w:pPr>
          <w:r>
            <w:rPr>
              <w:rFonts w:hint="eastAsia"/>
              <w:sz w:val="36"/>
              <w:szCs w:val="36"/>
              <w:lang w:val="zh-CN"/>
            </w:rPr>
            <w:t>目   录</w:t>
          </w:r>
        </w:p>
        <w:p w14:paraId="549A0DB0">
          <w:pPr>
            <w:pStyle w:val="15"/>
            <w:tabs>
              <w:tab w:val="right" w:leader="dot" w:pos="8528"/>
            </w:tabs>
          </w:pPr>
          <w:r>
            <w:rPr>
              <w:b w:val="0"/>
              <w:bCs w:val="0"/>
            </w:rPr>
            <w:fldChar w:fldCharType="begin"/>
          </w:r>
          <w:r>
            <w:instrText xml:space="preserve">TOC \o "1-3" \h \z \u</w:instrText>
          </w:r>
          <w:r>
            <w:rPr>
              <w:b w:val="0"/>
              <w:bCs w:val="0"/>
            </w:rPr>
            <w:fldChar w:fldCharType="separate"/>
          </w:r>
          <w:r>
            <w:rPr>
              <w:bCs w:val="0"/>
            </w:rPr>
            <w:fldChar w:fldCharType="begin"/>
          </w:r>
          <w:r>
            <w:rPr>
              <w:bCs w:val="0"/>
            </w:rPr>
            <w:instrText xml:space="preserve"> HYPERLINK \l _Toc10015 </w:instrText>
          </w:r>
          <w:r>
            <w:rPr>
              <w:bCs w:val="0"/>
            </w:rPr>
            <w:fldChar w:fldCharType="separate"/>
          </w:r>
          <w:r>
            <w:rPr>
              <w:rFonts w:ascii="黑体" w:hAnsi="黑体" w:eastAsia="黑体"/>
            </w:rPr>
            <w:t>1. 引言</w:t>
          </w:r>
          <w:r>
            <w:tab/>
          </w:r>
          <w:r>
            <w:fldChar w:fldCharType="begin"/>
          </w:r>
          <w:r>
            <w:instrText xml:space="preserve"> PAGEREF _Toc10015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 w:val="0"/>
            </w:rPr>
            <w:fldChar w:fldCharType="end"/>
          </w:r>
        </w:p>
        <w:p w14:paraId="01C75C97">
          <w:pPr>
            <w:pStyle w:val="11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_Toc14812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1.1  项目背景</w:t>
          </w:r>
          <w:r>
            <w:tab/>
          </w:r>
          <w:r>
            <w:fldChar w:fldCharType="begin"/>
          </w:r>
          <w:r>
            <w:instrText xml:space="preserve"> PAGEREF _Toc14812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302C3741">
          <w:pPr>
            <w:pStyle w:val="11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_Toc6556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1.2  项目目标与分析任务</w:t>
          </w:r>
          <w:r>
            <w:tab/>
          </w:r>
          <w:r>
            <w:fldChar w:fldCharType="begin"/>
          </w:r>
          <w:r>
            <w:instrText xml:space="preserve"> PAGEREF _Toc6556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82616AC">
          <w:pPr>
            <w:pStyle w:val="11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_Toc1380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1.3  技术路线与工具</w:t>
          </w:r>
          <w:r>
            <w:tab/>
          </w:r>
          <w:r>
            <w:fldChar w:fldCharType="begin"/>
          </w:r>
          <w:r>
            <w:instrText xml:space="preserve"> PAGEREF _Toc1380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59135B3">
          <w:pPr>
            <w:pStyle w:val="15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_Toc26661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2. 数据介绍</w:t>
          </w:r>
          <w:r>
            <w:tab/>
          </w:r>
          <w:r>
            <w:fldChar w:fldCharType="begin"/>
          </w:r>
          <w:r>
            <w:instrText xml:space="preserve"> PAGEREF _Toc26661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9F06D6E">
          <w:pPr>
            <w:pStyle w:val="11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_Toc14346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2.1  数据来源与规模</w:t>
          </w:r>
          <w:r>
            <w:tab/>
          </w:r>
          <w:r>
            <w:fldChar w:fldCharType="begin"/>
          </w:r>
          <w:r>
            <w:instrText xml:space="preserve"> PAGEREF _Toc14346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78DBA11">
          <w:pPr>
            <w:pStyle w:val="11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_Toc24722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2.2  变量构成</w:t>
          </w:r>
          <w:r>
            <w:tab/>
          </w:r>
          <w:r>
            <w:fldChar w:fldCharType="begin"/>
          </w:r>
          <w:r>
            <w:instrText xml:space="preserve"> PAGEREF _Toc24722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FC82B39">
          <w:pPr>
            <w:pStyle w:val="11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_Toc23621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2.3  数据特点与处理难点</w:t>
          </w:r>
          <w:r>
            <w:tab/>
          </w:r>
          <w:r>
            <w:fldChar w:fldCharType="begin"/>
          </w:r>
          <w:r>
            <w:instrText xml:space="preserve"> PAGEREF _Toc23621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5BC8A8ED">
          <w:pPr>
            <w:pStyle w:val="15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_Toc3961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3. 数据清洗与预处理</w:t>
          </w:r>
          <w:r>
            <w:tab/>
          </w:r>
          <w:r>
            <w:fldChar w:fldCharType="begin"/>
          </w:r>
          <w:r>
            <w:instrText xml:space="preserve"> PAGEREF _Toc3961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08D1B3D">
          <w:pPr>
            <w:pStyle w:val="11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_Toc12389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3.1  缺失值处理</w:t>
          </w:r>
          <w:r>
            <w:tab/>
          </w:r>
          <w:r>
            <w:fldChar w:fldCharType="begin"/>
          </w:r>
          <w:r>
            <w:instrText xml:space="preserve"> PAGEREF _Toc12389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AC9F84E">
          <w:pPr>
            <w:pStyle w:val="11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_Toc21940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3.2  异常值检测与处理</w:t>
          </w:r>
          <w:r>
            <w:tab/>
          </w:r>
          <w:r>
            <w:fldChar w:fldCharType="begin"/>
          </w:r>
          <w:r>
            <w:instrText xml:space="preserve"> PAGEREF _Toc21940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34CD05C">
          <w:pPr>
            <w:pStyle w:val="11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_Toc26243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3.3  数据类型转换与字段拆分</w:t>
          </w:r>
          <w:r>
            <w:tab/>
          </w:r>
          <w:r>
            <w:fldChar w:fldCharType="begin"/>
          </w:r>
          <w:r>
            <w:instrText xml:space="preserve"> PAGEREF _Toc26243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35F94DA5">
          <w:pPr>
            <w:pStyle w:val="11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_Toc10004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3.4  长表转宽表</w:t>
          </w:r>
          <w:r>
            <w:tab/>
          </w:r>
          <w:r>
            <w:fldChar w:fldCharType="begin"/>
          </w:r>
          <w:r>
            <w:instrText xml:space="preserve"> PAGEREF _Toc10004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4844861">
          <w:pPr>
            <w:pStyle w:val="11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_Toc27863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3.5  清洗结果与数据子集的选择</w:t>
          </w:r>
          <w:r>
            <w:tab/>
          </w:r>
          <w:r>
            <w:fldChar w:fldCharType="begin"/>
          </w:r>
          <w:r>
            <w:instrText xml:space="preserve"> PAGEREF _Toc27863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FE906F6">
          <w:pPr>
            <w:pStyle w:val="15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_Toc9175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4. 数据分析与可视化（一）：运行状态与设备画像</w:t>
          </w:r>
          <w:r>
            <w:tab/>
          </w:r>
          <w:r>
            <w:fldChar w:fldCharType="begin"/>
          </w:r>
          <w:r>
            <w:instrText xml:space="preserve"> PAGEREF _Toc9175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A243559">
          <w:pPr>
            <w:pStyle w:val="11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_Toc18925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4.1  单车单日的运行过程还原</w:t>
          </w:r>
          <w:r>
            <w:tab/>
          </w:r>
          <w:r>
            <w:fldChar w:fldCharType="begin"/>
          </w:r>
          <w:r>
            <w:instrText xml:space="preserve"> PAGEREF _Toc18925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83FB09B">
          <w:pPr>
            <w:pStyle w:val="11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_Toc2709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4.2  三台设备的运行特征对比</w:t>
          </w:r>
          <w:r>
            <w:tab/>
          </w:r>
          <w:r>
            <w:fldChar w:fldCharType="begin"/>
          </w:r>
          <w:r>
            <w:instrText xml:space="preserve"> PAGEREF _Toc2709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64535CA">
          <w:pPr>
            <w:pStyle w:val="11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_Toc13136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4.3  关键信号的相关性</w:t>
          </w:r>
          <w:r>
            <w:tab/>
          </w:r>
          <w:r>
            <w:fldChar w:fldCharType="begin"/>
          </w:r>
          <w:r>
            <w:instrText xml:space="preserve"> PAGEREF _Toc13136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2557BFA">
          <w:pPr>
            <w:pStyle w:val="11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_Toc11964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4.4  时间规律</w:t>
          </w:r>
          <w:r>
            <w:tab/>
          </w:r>
          <w:r>
            <w:fldChar w:fldCharType="begin"/>
          </w:r>
          <w:r>
            <w:instrText xml:space="preserve"> PAGEREF _Toc11964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32C0ADB">
          <w:pPr>
            <w:pStyle w:val="11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_Toc31383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4.5  小结</w:t>
          </w:r>
          <w:r>
            <w:tab/>
          </w:r>
          <w:r>
            <w:fldChar w:fldCharType="begin"/>
          </w:r>
          <w:r>
            <w:instrText xml:space="preserve"> PAGEREF _Toc31383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C8A2BBD">
          <w:pPr>
            <w:pStyle w:val="15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_Toc16344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5. 数据分析与可视化（二）：告警事件识别与成因分析</w:t>
          </w:r>
          <w:r>
            <w:tab/>
          </w:r>
          <w:r>
            <w:fldChar w:fldCharType="begin"/>
          </w:r>
          <w:r>
            <w:instrText xml:space="preserve"> PAGEREF _Toc16344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636D6F3">
          <w:pPr>
            <w:pStyle w:val="11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_Toc3082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5.1  告警的整体分布</w:t>
          </w:r>
          <w:r>
            <w:tab/>
          </w:r>
          <w:r>
            <w:fldChar w:fldCharType="begin"/>
          </w:r>
          <w:r>
            <w:instrText xml:space="preserve"> PAGEREF _Toc3082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511DDB46">
          <w:pPr>
            <w:pStyle w:val="11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_Toc20543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5.2  各类别的信号特征与语义解释</w:t>
          </w:r>
          <w:r>
            <w:tab/>
          </w:r>
          <w:r>
            <w:fldChar w:fldCharType="begin"/>
          </w:r>
          <w:r>
            <w:instrText xml:space="preserve"> PAGEREF _Toc20543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81F5A53">
          <w:pPr>
            <w:pStyle w:val="11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_Toc21300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5.3  告警类别与触发变量的关联</w:t>
          </w:r>
          <w:r>
            <w:tab/>
          </w:r>
          <w:r>
            <w:fldChar w:fldCharType="begin"/>
          </w:r>
          <w:r>
            <w:instrText xml:space="preserve"> PAGEREF _Toc21300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6A50FAE">
          <w:pPr>
            <w:pStyle w:val="11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_Toc15818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5.4  告警与车辆运行状态的关系</w:t>
          </w:r>
          <w:r>
            <w:tab/>
          </w:r>
          <w:r>
            <w:fldChar w:fldCharType="begin"/>
          </w:r>
          <w:r>
            <w:instrText xml:space="preserve"> PAGEREF _Toc15818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EA93652">
          <w:pPr>
            <w:pStyle w:val="11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_Toc15634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5.5  告警事件的时间定位与片段划分</w:t>
          </w:r>
          <w:r>
            <w:tab/>
          </w:r>
          <w:r>
            <w:fldChar w:fldCharType="begin"/>
          </w:r>
          <w:r>
            <w:instrText xml:space="preserve"> PAGEREF _Toc15634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BD678DA">
          <w:pPr>
            <w:pStyle w:val="11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_Toc30160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5.6  告警发生前后的状态对比</w:t>
          </w:r>
          <w:r>
            <w:tab/>
          </w:r>
          <w:r>
            <w:fldChar w:fldCharType="begin"/>
          </w:r>
          <w:r>
            <w:instrText xml:space="preserve"> PAGEREF _Toc30160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BDE76B3">
          <w:pPr>
            <w:pStyle w:val="15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_Toc3271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6. 模型构建、评估与可视化</w:t>
          </w:r>
          <w:r>
            <w:tab/>
          </w:r>
          <w:r>
            <w:fldChar w:fldCharType="begin"/>
          </w:r>
          <w:r>
            <w:instrText xml:space="preserve"> PAGEREF _Toc3271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CCC8B09">
          <w:pPr>
            <w:pStyle w:val="11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_Toc5500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6.1  任务定义与特征工程</w:t>
          </w:r>
          <w:r>
            <w:tab/>
          </w:r>
          <w:r>
            <w:fldChar w:fldCharType="begin"/>
          </w:r>
          <w:r>
            <w:instrText xml:space="preserve"> PAGEREF _Toc5500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F8DDF03">
          <w:pPr>
            <w:pStyle w:val="11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_Toc7940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6.2  实验一：读数级多分类</w:t>
          </w:r>
          <w:r>
            <w:tab/>
          </w:r>
          <w:r>
            <w:fldChar w:fldCharType="begin"/>
          </w:r>
          <w:r>
            <w:instrText xml:space="preserve"> PAGEREF _Toc7940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3A4F1263">
          <w:pPr>
            <w:pStyle w:val="11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_Toc12839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6.3  实验二：特征消融与跨设备泛化</w:t>
          </w:r>
          <w:r>
            <w:tab/>
          </w:r>
          <w:r>
            <w:fldChar w:fldCharType="begin"/>
          </w:r>
          <w:r>
            <w:instrText xml:space="preserve"> PAGEREF _Toc12839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53CA729B">
          <w:pPr>
            <w:pStyle w:val="11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_Toc22907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6.4  实验三：统计异常与业务告警的一致性</w:t>
          </w:r>
          <w:r>
            <w:tab/>
          </w:r>
          <w:r>
            <w:fldChar w:fldCharType="begin"/>
          </w:r>
          <w:r>
            <w:instrText xml:space="preserve"> PAGEREF _Toc22907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230A9D4">
          <w:pPr>
            <w:pStyle w:val="11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_Toc12662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6.5  实验四：能否提前预警</w:t>
          </w:r>
          <w:r>
            <w:tab/>
          </w:r>
          <w:r>
            <w:fldChar w:fldCharType="begin"/>
          </w:r>
          <w:r>
            <w:instrText xml:space="preserve"> PAGEREF _Toc12662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9D293D7">
          <w:pPr>
            <w:pStyle w:val="11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_Toc12053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6.6  模型评估小结</w:t>
          </w:r>
          <w:r>
            <w:tab/>
          </w:r>
          <w:r>
            <w:fldChar w:fldCharType="begin"/>
          </w:r>
          <w:r>
            <w:instrText xml:space="preserve"> PAGEREF _Toc12053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575DFA99">
          <w:pPr>
            <w:pStyle w:val="15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_Toc5940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7. 总结与结论</w:t>
          </w:r>
          <w:r>
            <w:tab/>
          </w:r>
          <w:r>
            <w:fldChar w:fldCharType="begin"/>
          </w:r>
          <w:r>
            <w:instrText xml:space="preserve"> PAGEREF _Toc5940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F235F45">
          <w:pPr>
            <w:pStyle w:val="11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_Toc9934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7.1  主要发现</w:t>
          </w:r>
          <w:r>
            <w:tab/>
          </w:r>
          <w:r>
            <w:fldChar w:fldCharType="begin"/>
          </w:r>
          <w:r>
            <w:instrText xml:space="preserve"> PAGEREF _Toc9934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FF16FE8">
          <w:pPr>
            <w:pStyle w:val="11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_Toc8013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7.2  建议</w:t>
          </w:r>
          <w:r>
            <w:tab/>
          </w:r>
          <w:r>
            <w:fldChar w:fldCharType="begin"/>
          </w:r>
          <w:r>
            <w:instrText xml:space="preserve"> PAGEREF _Toc8013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DD6F42C">
          <w:pPr>
            <w:pStyle w:val="11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_Toc599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7.3  不足与改进方向</w:t>
          </w:r>
          <w:r>
            <w:tab/>
          </w:r>
          <w:r>
            <w:fldChar w:fldCharType="begin"/>
          </w:r>
          <w:r>
            <w:instrText xml:space="preserve"> PAGEREF _Toc599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CC3C6F4">
          <w:pPr>
            <w:pStyle w:val="15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_Toc27733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8. 小组成员分工与个人承担</w:t>
          </w:r>
          <w:r>
            <w:tab/>
          </w:r>
          <w:r>
            <w:fldChar w:fldCharType="begin"/>
          </w:r>
          <w:r>
            <w:instrText xml:space="preserve"> PAGEREF _Toc27733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4EA2278">
          <w:pPr>
            <w:pStyle w:val="11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_Toc19189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8.1  分工说明</w:t>
          </w:r>
          <w:r>
            <w:tab/>
          </w:r>
          <w:r>
            <w:fldChar w:fldCharType="begin"/>
          </w:r>
          <w:r>
            <w:instrText xml:space="preserve"> PAGEREF _Toc19189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8207C63">
          <w:pPr>
            <w:pStyle w:val="11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_Toc6008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8.2  个人承担说明</w:t>
          </w:r>
          <w:r>
            <w:tab/>
          </w:r>
          <w:r>
            <w:fldChar w:fldCharType="begin"/>
          </w:r>
          <w:r>
            <w:instrText xml:space="preserve"> PAGEREF _Toc6008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536543A7">
          <w:pPr>
            <w:pStyle w:val="15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_Toc32313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9. 附录</w:t>
          </w:r>
          <w:r>
            <w:tab/>
          </w:r>
          <w:r>
            <w:fldChar w:fldCharType="begin"/>
          </w:r>
          <w:r>
            <w:instrText xml:space="preserve"> PAGEREF _Toc32313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F9557F2">
          <w:pPr>
            <w:pStyle w:val="11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_Toc5324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9.1  项目文件结构</w:t>
          </w:r>
          <w:r>
            <w:tab/>
          </w:r>
          <w:r>
            <w:fldChar w:fldCharType="begin"/>
          </w:r>
          <w:r>
            <w:instrText xml:space="preserve"> PAGEREF _Toc5324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3421A72B">
          <w:pPr>
            <w:pStyle w:val="11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_Toc8572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9.2  主要代码片段</w:t>
          </w:r>
          <w:r>
            <w:tab/>
          </w:r>
          <w:r>
            <w:fldChar w:fldCharType="begin"/>
          </w:r>
          <w:r>
            <w:instrText xml:space="preserve"> PAGEREF _Toc8572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28D07B8">
          <w:pPr>
            <w:pStyle w:val="11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_Toc14175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9.3  关键指标汇总</w:t>
          </w:r>
          <w:r>
            <w:tab/>
          </w:r>
          <w:r>
            <w:fldChar w:fldCharType="begin"/>
          </w:r>
          <w:r>
            <w:instrText xml:space="preserve"> PAGEREF _Toc14175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3B7F54C">
          <w:pPr>
            <w:pStyle w:val="11"/>
            <w:tabs>
              <w:tab w:val="right" w:leader="dot" w:pos="8528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_Toc31309 </w:instrText>
          </w:r>
          <w:r>
            <w:rPr>
              <w:bCs/>
            </w:rPr>
            <w:fldChar w:fldCharType="separate"/>
          </w:r>
          <w:r>
            <w:rPr>
              <w:rFonts w:ascii="黑体" w:hAnsi="黑体" w:eastAsia="黑体"/>
            </w:rPr>
            <w:t>9.4  参考文献</w:t>
          </w:r>
          <w:r>
            <w:tab/>
          </w:r>
          <w:r>
            <w:fldChar w:fldCharType="begin"/>
          </w:r>
          <w:r>
            <w:instrText xml:space="preserve"> PAGEREF _Toc31309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302D056">
          <w:pPr>
            <w:rPr>
              <w:b/>
              <w:bCs/>
            </w:rPr>
          </w:pPr>
          <w:r>
            <w:rPr>
              <w:bCs/>
            </w:rPr>
            <w:fldChar w:fldCharType="end"/>
          </w:r>
        </w:p>
      </w:sdtContent>
    </w:sdt>
    <w:p w14:paraId="4A6D2010">
      <w:pPr>
        <w:snapToGrid w:val="0"/>
        <w:spacing w:line="440" w:lineRule="atLeast"/>
        <w:jc w:val="center"/>
        <w:rPr>
          <w:rFonts w:ascii="黑体" w:hAnsi="黑体" w:eastAsia="黑体" w:cs="黑体"/>
          <w:b/>
          <w:sz w:val="36"/>
          <w:szCs w:val="36"/>
        </w:rPr>
      </w:pPr>
    </w:p>
    <w:p w14:paraId="3051FDAA">
      <w:pPr>
        <w:snapToGrid w:val="0"/>
        <w:spacing w:line="440" w:lineRule="atLeast"/>
        <w:rPr>
          <w:rFonts w:ascii="黑体" w:hAnsi="黑体" w:eastAsia="黑体" w:cs="黑体"/>
          <w:b/>
          <w:sz w:val="36"/>
          <w:szCs w:val="36"/>
        </w:rPr>
      </w:pPr>
    </w:p>
    <w:p w14:paraId="6387AB62">
      <w:pPr>
        <w:snapToGrid w:val="0"/>
        <w:spacing w:line="440" w:lineRule="atLeast"/>
        <w:jc w:val="center"/>
        <w:rPr>
          <w:rFonts w:ascii="黑体" w:hAnsi="黑体" w:eastAsia="黑体" w:cs="黑体"/>
          <w:b/>
          <w:sz w:val="36"/>
          <w:szCs w:val="36"/>
        </w:rPr>
      </w:pPr>
    </w:p>
    <w:p w14:paraId="0AD1F92F">
      <w:pPr>
        <w:pageBreakBefore/>
        <w:snapToGrid w:val="0"/>
        <w:spacing w:line="440" w:lineRule="atLeast"/>
        <w:jc w:val="center"/>
        <w:rPr>
          <w:rFonts w:ascii="黑体" w:hAnsi="黑体" w:eastAsia="黑体" w:cs="黑体"/>
          <w:b/>
          <w:sz w:val="36"/>
          <w:szCs w:val="36"/>
        </w:rPr>
      </w:pPr>
      <w:r>
        <w:rPr>
          <w:rFonts w:hint="eastAsia" w:ascii="黑体" w:hAnsi="黑体" w:eastAsia="黑体" w:cs="黑体"/>
          <w:b/>
          <w:sz w:val="36"/>
          <w:szCs w:val="36"/>
        </w:rPr>
        <w:t>摘    要</w:t>
      </w:r>
    </w:p>
    <w:p w14:paraId="78C9DC5D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本文以某车联网平台 3 台设备的车载网关遥测数据为研究对象（长表 173,853 条记录、52 类传感器与 OBD 变量、时间跨度 2020-08-17 至 2020-08-24），按照“数据清洗—长表转宽表—运行状态分析—告警识别—建模评估”的流程完成了一次完整的数据分析实践。清洗阶段解析时间戳、按“纬度,经度,海拔”拆分定位字段、统一数值类型，将 90,355 条定位中越界的 10,517 条置空，最终得到 83,359 条有效读数，并按（设备、时间戳）以及 1 分钟、5 分钟两种粒度规整为宽表，解决了长表稀疏、采样频率不一致的问题。</w:t>
      </w:r>
    </w:p>
    <w:p w14:paraId="000C51F3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分析结果显示：三台设备呈现三种截然不同的用车画像——车-GAB0gBAQ 为高速长途用车（平均车速 35.15 km/h，高速工况占 22.5%），车-NAB0gBAQ 为城市频繁起停用车（怠速占 35.6%），车-twB1gBAQ 为短途停放用车（熄火静止占 52.3%）；车速与发动机转速的 Spearman 相关系数为 0.741，符合动力总成的机械耦合关系。告警字段方面，全部读数中 48.3% 带有告警标签，结合各类别下关键信号的取值分布可判定其为“分级驾驶行为/工况告警”：类别 1 为低速强冲击、类别 2 为中低速工况、类别 3 为中高速加速、类别 4 为高速高负荷、类别 5 为熄火静止；合并后共识别告警片段 1,078 段，高等级片段集中在 14—19 时的用车高峰。</w:t>
      </w:r>
    </w:p>
    <w:p w14:paraId="4E8181B3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建模方面共完成四组实验：读数级六分类在随机划分下宏平均 F1 达 0.9923，去掉“变量身份”特征后逻辑回归准确率降至 0.4122，说明模型复现的主要是设备端的阈值规则；留一设备验证的宏平均 F1 降至 0.53—0.66，暴露出跨车辆泛化不足的问题；3σ 异常检测对告警的召回率普遍低于 8%，说明统计离群点与业务告警并非同一概念；以过去 10 分钟运行状态预测未来 10 分钟是否出现类别 4 告警片段时，逻辑回归 AUC 为 0.7327，具备一定预警价值但仍需提升采样质量。据此，本文提出了告警分层管理、关键信号提速上报、跨车辆建模先做分布对齐以及构建驾驶风险评分等建议。</w:t>
      </w:r>
    </w:p>
    <w:p w14:paraId="374C755E">
      <w:pPr>
        <w:spacing w:before="200" w:line="360" w:lineRule="auto"/>
      </w:pPr>
      <w:r>
        <w:rPr>
          <w:rFonts w:ascii="宋体" w:hAnsi="宋体" w:eastAsia="宋体"/>
          <w:b/>
          <w:sz w:val="24"/>
        </w:rPr>
        <w:t>关键词：</w:t>
      </w:r>
      <w:r>
        <w:rPr>
          <w:rFonts w:ascii="宋体" w:hAnsi="宋体" w:eastAsia="宋体"/>
          <w:b w:val="0"/>
          <w:sz w:val="24"/>
        </w:rPr>
        <w:t>车联网；OBD 遥测数据；长表转宽表；告警识别；随机森林；异常检测；驾驶行为分析</w:t>
      </w:r>
    </w:p>
    <w:p w14:paraId="1B7F3FB6">
      <w:r>
        <w:br w:type="page"/>
      </w:r>
    </w:p>
    <w:p w14:paraId="2F73801A">
      <w:pPr>
        <w:pStyle w:val="2"/>
        <w:spacing w:before="280" w:after="160" w:line="336" w:lineRule="auto"/>
      </w:pPr>
      <w:bookmarkStart w:id="1" w:name="_Toc10015"/>
      <w:r>
        <w:rPr>
          <w:rFonts w:ascii="黑体" w:hAnsi="黑体" w:eastAsia="黑体"/>
          <w:b w:val="0"/>
          <w:sz w:val="28"/>
        </w:rPr>
        <w:t>1. 引言</w:t>
      </w:r>
      <w:bookmarkEnd w:id="1"/>
    </w:p>
    <w:p w14:paraId="26C0E225">
      <w:pPr>
        <w:pStyle w:val="3"/>
        <w:spacing w:before="200" w:after="100" w:line="336" w:lineRule="auto"/>
      </w:pPr>
      <w:bookmarkStart w:id="2" w:name="_Toc14812"/>
      <w:r>
        <w:rPr>
          <w:rFonts w:ascii="黑体" w:hAnsi="黑体" w:eastAsia="黑体"/>
          <w:b/>
          <w:sz w:val="25"/>
        </w:rPr>
        <w:t>1.1  项目背景</w:t>
      </w:r>
      <w:bookmarkEnd w:id="2"/>
    </w:p>
    <w:p w14:paraId="262127EA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智能网联汽车通过车载网关（T-Box 或 OBD 采集盒）持续读取动力总成、车身姿态、卫星定位与诊断信息，并按事件或周期上传至云端平台，形成典型的高频、多变量、事件驱动的物联网时序数据。这类数据是车队管理、驾驶行为评分、保险定价（UBI）、预见性维保与行车安全管理的基础：平台方既关心“车辆在做什么”（运行状态），也关心“车辆什么时候出问题”（告警事件）。</w:t>
      </w:r>
    </w:p>
    <w:p w14:paraId="6D6945F8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但与实验室数据不同，工程现场的遥测数据往往“脏且散”。第一，它以长表形式存储，每行只描述一个“变量—取值”，同一时刻的不同信号被拆散在多行中；第二，各信号的上报频率差异极大，定位可能每 3 秒一次，而车速、转速等 OBD 信号数分钟才出现一次；第三，定位等复合信息以“纬度,经度,海拔”字符串拼接，需要拆分；第四，告警标签 alarmClass 只落在触发它的那一条读数上，导致“告警”与“整车状态”不能简单等同。如果这些问题不先处理，任何统计与建模都会失真。</w:t>
      </w:r>
    </w:p>
    <w:p w14:paraId="2B41F9CE">
      <w:pPr>
        <w:pStyle w:val="3"/>
        <w:spacing w:before="200" w:after="100" w:line="336" w:lineRule="auto"/>
      </w:pPr>
      <w:bookmarkStart w:id="3" w:name="_Toc6556"/>
      <w:r>
        <w:rPr>
          <w:rFonts w:ascii="黑体" w:hAnsi="黑体" w:eastAsia="黑体"/>
          <w:b/>
          <w:sz w:val="25"/>
        </w:rPr>
        <w:t>1.2  项目目标与分析任务</w:t>
      </w:r>
      <w:bookmarkEnd w:id="3"/>
    </w:p>
    <w:p w14:paraId="2972849C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本项目的总目标是：把上述原始遥测数据整理成可分析的结构，还原车辆运行状态，解释告警成因，并评估用机器学习识别告警的可行性与边界。具体拆解为五项任务：</w:t>
      </w:r>
    </w:p>
    <w:p w14:paraId="30F079C8">
      <w:pPr>
        <w:spacing w:after="0" w:line="360" w:lineRule="auto"/>
        <w:ind w:left="420" w:hanging="240" w:hangingChars="100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数据规整</w:t>
      </w:r>
      <w:r>
        <w:rPr>
          <w:rFonts w:ascii="宋体" w:hAnsi="宋体" w:eastAsia="宋体"/>
          <w:b w:val="0"/>
          <w:sz w:val="24"/>
        </w:rPr>
        <w:t>：解析时间戳、拆分定位字段、统一数值类型，处理缺失、重复与明显异常点；</w:t>
      </w:r>
    </w:p>
    <w:p w14:paraId="0B96566B">
      <w:pPr>
        <w:spacing w:after="0" w:line="360" w:lineRule="auto"/>
        <w:ind w:left="420" w:hanging="240" w:hangingChars="100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结构转换</w:t>
      </w:r>
      <w:r>
        <w:rPr>
          <w:rFonts w:ascii="宋体" w:hAnsi="宋体" w:eastAsia="宋体"/>
          <w:b w:val="0"/>
          <w:sz w:val="24"/>
        </w:rPr>
        <w:t>：把长表规整为宽表（按时间对齐各传感器变量），并生成多粒度聚合表；</w:t>
      </w:r>
    </w:p>
    <w:p w14:paraId="3D9FFBC5">
      <w:pPr>
        <w:spacing w:after="0" w:line="360" w:lineRule="auto"/>
        <w:ind w:left="420" w:hanging="240" w:hangingChars="100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状态分析</w:t>
      </w:r>
      <w:r>
        <w:rPr>
          <w:rFonts w:ascii="宋体" w:hAnsi="宋体" w:eastAsia="宋体"/>
          <w:b w:val="0"/>
          <w:sz w:val="24"/>
        </w:rPr>
        <w:t>：分析车速、发动机转速、加速度随时间的变化，比较不同车辆的运行特征；</w:t>
      </w:r>
    </w:p>
    <w:p w14:paraId="035A0B5C">
      <w:pPr>
        <w:spacing w:after="0" w:line="360" w:lineRule="auto"/>
        <w:ind w:left="420" w:hanging="240" w:hangingChars="100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告警分析</w:t>
      </w:r>
      <w:r>
        <w:rPr>
          <w:rFonts w:ascii="宋体" w:hAnsi="宋体" w:eastAsia="宋体"/>
          <w:b w:val="0"/>
          <w:sz w:val="24"/>
        </w:rPr>
        <w:t>：识别告警事件，研究各类告警与车辆运行状态之间的对应关系并解释成因；</w:t>
      </w:r>
    </w:p>
    <w:p w14:paraId="0CF3C4E8">
      <w:pPr>
        <w:spacing w:after="0" w:line="360" w:lineRule="auto"/>
        <w:ind w:left="420" w:hanging="240" w:hangingChars="100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建模评估</w:t>
      </w:r>
      <w:r>
        <w:rPr>
          <w:rFonts w:ascii="宋体" w:hAnsi="宋体" w:eastAsia="宋体"/>
          <w:b w:val="0"/>
          <w:sz w:val="24"/>
        </w:rPr>
        <w:t>：建立告警分类/识别模型，评估效果与泛化能力，讨论其可解释性与应用边界。</w:t>
      </w:r>
    </w:p>
    <w:p w14:paraId="49F6B885">
      <w:pPr>
        <w:pStyle w:val="3"/>
        <w:spacing w:before="200" w:after="100" w:line="336" w:lineRule="auto"/>
      </w:pPr>
      <w:bookmarkStart w:id="4" w:name="_Toc1380"/>
      <w:r>
        <w:rPr>
          <w:rFonts w:ascii="黑体" w:hAnsi="黑体" w:eastAsia="黑体"/>
          <w:b/>
          <w:sz w:val="25"/>
        </w:rPr>
        <w:t>1.3  技术路线与工具</w:t>
      </w:r>
      <w:bookmarkEnd w:id="4"/>
    </w:p>
    <w:p w14:paraId="5350532E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整体流程为：原始长表 →（清洗、拆分、类型转换）→ 清洗后长表 →（透视规整）→ 宽表（时间戳级、1 分钟、5 分钟）→ 探索性分析 → 告警识别与语义解释 → 建模评估 → 结论与建议。全部处理用 Python 实现，按“一步一脚本”组织，任一环节均可单独重跑；所有实验指标统一写入 output/metrics.json，正文中的数字均从该文件读取，保证图文一致、可复现。各环节对应的脚本与产出见表 1。</w:t>
      </w:r>
    </w:p>
    <w:p w14:paraId="181CF095">
      <w:pPr>
        <w:keepNext/>
        <w:keepLines/>
        <w:spacing w:before="160" w:after="60" w:line="276" w:lineRule="auto"/>
        <w:jc w:val="center"/>
      </w:pPr>
      <w:r>
        <w:rPr>
          <w:rFonts w:ascii="宋体" w:hAnsi="宋体" w:eastAsia="宋体"/>
          <w:b w:val="0"/>
          <w:sz w:val="21"/>
        </w:rPr>
        <w:t>表1  项目技术路线对应的脚本与产出</w:t>
      </w:r>
    </w:p>
    <w:tbl>
      <w:tblPr>
        <w:tblStyle w:val="6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3"/>
        <w:gridCol w:w="2843"/>
        <w:gridCol w:w="2843"/>
      </w:tblGrid>
      <w:tr w14:paraId="3EF048D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7" w:type="dxa"/>
            <w:shd w:val="clear" w:color="auto" w:fill="EDF1F5"/>
          </w:tcPr>
          <w:p w14:paraId="37EDB443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w="2232" w:type="dxa"/>
            <w:shd w:val="clear" w:color="auto" w:fill="EDF1F5"/>
          </w:tcPr>
          <w:p w14:paraId="534F5311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脚本</w:t>
            </w:r>
          </w:p>
        </w:tc>
        <w:tc>
          <w:tcPr>
            <w:tcW w:w="4465" w:type="dxa"/>
            <w:shd w:val="clear" w:color="auto" w:fill="EDF1F5"/>
          </w:tcPr>
          <w:p w14:paraId="4A266697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主要输出</w:t>
            </w:r>
          </w:p>
        </w:tc>
      </w:tr>
      <w:tr w14:paraId="584D94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7" w:type="dxa"/>
          </w:tcPr>
          <w:p w14:paraId="379E1FFA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数据清洗与规整</w:t>
            </w:r>
          </w:p>
        </w:tc>
        <w:tc>
          <w:tcPr>
            <w:tcW w:w="2232" w:type="dxa"/>
          </w:tcPr>
          <w:p w14:paraId="5870628F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src/prepare.py</w:t>
            </w:r>
          </w:p>
        </w:tc>
        <w:tc>
          <w:tcPr>
            <w:tcW w:w="4465" w:type="dxa"/>
          </w:tcPr>
          <w:p w14:paraId="5BD16BB4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清洗后长表、定位表、三种粒度的宽表、图 1—图 2</w:t>
            </w:r>
          </w:p>
        </w:tc>
      </w:tr>
      <w:tr w14:paraId="12B3F7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7" w:type="dxa"/>
          </w:tcPr>
          <w:p w14:paraId="682BF7F9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探索性分析</w:t>
            </w:r>
          </w:p>
        </w:tc>
        <w:tc>
          <w:tcPr>
            <w:tcW w:w="2232" w:type="dxa"/>
          </w:tcPr>
          <w:p w14:paraId="59BED983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src/eda.py</w:t>
            </w:r>
          </w:p>
        </w:tc>
        <w:tc>
          <w:tcPr>
            <w:tcW w:w="4465" w:type="dxa"/>
          </w:tcPr>
          <w:p w14:paraId="7F9659E9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运行过程还原、设备画像、相关性与时间规律（图 3—图 7）</w:t>
            </w:r>
          </w:p>
        </w:tc>
      </w:tr>
      <w:tr w14:paraId="616006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7" w:type="dxa"/>
          </w:tcPr>
          <w:p w14:paraId="3109C3E6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告警分析</w:t>
            </w:r>
          </w:p>
        </w:tc>
        <w:tc>
          <w:tcPr>
            <w:tcW w:w="2232" w:type="dxa"/>
          </w:tcPr>
          <w:p w14:paraId="1D398171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src/alarm.py</w:t>
            </w:r>
          </w:p>
        </w:tc>
        <w:tc>
          <w:tcPr>
            <w:tcW w:w="4465" w:type="dxa"/>
          </w:tcPr>
          <w:p w14:paraId="32AA2E44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告警语义、类别—变量关联、告警片段（图 8—图 13）</w:t>
            </w:r>
          </w:p>
        </w:tc>
      </w:tr>
      <w:tr w14:paraId="6C2220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7" w:type="dxa"/>
          </w:tcPr>
          <w:p w14:paraId="2D0D8231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建模与评估</w:t>
            </w:r>
          </w:p>
        </w:tc>
        <w:tc>
          <w:tcPr>
            <w:tcW w:w="2232" w:type="dxa"/>
          </w:tcPr>
          <w:p w14:paraId="7061FC14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src/model.py</w:t>
            </w:r>
          </w:p>
        </w:tc>
        <w:tc>
          <w:tcPr>
            <w:tcW w:w="4465" w:type="dxa"/>
          </w:tcPr>
          <w:p w14:paraId="27C49DE3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四组实验与指标（图 14—图 18）</w:t>
            </w:r>
          </w:p>
        </w:tc>
      </w:tr>
      <w:tr w14:paraId="6B37E65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7" w:type="dxa"/>
          </w:tcPr>
          <w:p w14:paraId="131A36B1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报告生成</w:t>
            </w:r>
          </w:p>
        </w:tc>
        <w:tc>
          <w:tcPr>
            <w:tcW w:w="2232" w:type="dxa"/>
          </w:tcPr>
          <w:p w14:paraId="13DC8F83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src/build_report.py</w:t>
            </w:r>
          </w:p>
        </w:tc>
        <w:tc>
          <w:tcPr>
            <w:tcW w:w="4465" w:type="dxa"/>
          </w:tcPr>
          <w:p w14:paraId="04070373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本报告（Word）与 PDF 预览</w:t>
            </w:r>
          </w:p>
        </w:tc>
      </w:tr>
    </w:tbl>
    <w:p w14:paraId="63CF8887">
      <w:pPr>
        <w:spacing w:after="40"/>
      </w:pPr>
    </w:p>
    <w:p w14:paraId="2DAAA4E1">
      <w:pPr>
        <w:pStyle w:val="2"/>
        <w:spacing w:before="280" w:after="160" w:line="336" w:lineRule="auto"/>
      </w:pPr>
      <w:bookmarkStart w:id="5" w:name="_Toc26661"/>
      <w:r>
        <w:rPr>
          <w:rFonts w:ascii="黑体" w:hAnsi="黑体" w:eastAsia="黑体"/>
          <w:b w:val="0"/>
          <w:sz w:val="28"/>
        </w:rPr>
        <w:t>2. 数据介绍</w:t>
      </w:r>
      <w:bookmarkEnd w:id="5"/>
    </w:p>
    <w:p w14:paraId="276B031A">
      <w:pPr>
        <w:pStyle w:val="3"/>
        <w:spacing w:before="200" w:after="100" w:line="336" w:lineRule="auto"/>
      </w:pPr>
      <w:bookmarkStart w:id="6" w:name="_Toc14346"/>
      <w:r>
        <w:rPr>
          <w:rFonts w:ascii="黑体" w:hAnsi="黑体" w:eastAsia="黑体"/>
          <w:b/>
          <w:sz w:val="25"/>
        </w:rPr>
        <w:t>2.1  数据来源与规模</w:t>
      </w:r>
      <w:bookmarkEnd w:id="6"/>
    </w:p>
    <w:p w14:paraId="04594054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数据来自课程提供的《题2_车辆物联网遥测.csv》，为某车联网平台 3 台设备的车载网关上报记录，采用长表格式存储，共 173,853 行、6 列，涉及 3 台设备、52 种变量，时间范围为 2020-08-17 00:00:02 至 2020-08-24 12:23:01，约 7.5 天。数据字段及含义见表 2。</w:t>
      </w:r>
    </w:p>
    <w:p w14:paraId="5A14F46B">
      <w:pPr>
        <w:keepNext/>
        <w:keepLines/>
        <w:spacing w:before="160" w:after="60" w:line="276" w:lineRule="auto"/>
        <w:jc w:val="center"/>
      </w:pPr>
      <w:r>
        <w:rPr>
          <w:rFonts w:ascii="宋体" w:hAnsi="宋体" w:eastAsia="宋体"/>
          <w:b w:val="0"/>
          <w:sz w:val="21"/>
        </w:rPr>
        <w:t>表2  原始数据字段说明</w:t>
      </w:r>
    </w:p>
    <w:tbl>
      <w:tblPr>
        <w:tblStyle w:val="6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2"/>
        <w:gridCol w:w="2132"/>
        <w:gridCol w:w="2132"/>
        <w:gridCol w:w="2132"/>
      </w:tblGrid>
      <w:tr w14:paraId="41145C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52" w:type="dxa"/>
            <w:shd w:val="clear" w:color="auto" w:fill="EDF1F5"/>
          </w:tcPr>
          <w:p w14:paraId="4077BFD1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w="1348" w:type="dxa"/>
            <w:shd w:val="clear" w:color="auto" w:fill="EDF1F5"/>
          </w:tcPr>
          <w:p w14:paraId="6AB48F1F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原始类型</w:t>
            </w:r>
          </w:p>
        </w:tc>
        <w:tc>
          <w:tcPr>
            <w:tcW w:w="2800" w:type="dxa"/>
            <w:shd w:val="clear" w:color="auto" w:fill="EDF1F5"/>
          </w:tcPr>
          <w:p w14:paraId="1848BBAA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  <w:tc>
          <w:tcPr>
            <w:tcW w:w="2904" w:type="dxa"/>
            <w:shd w:val="clear" w:color="auto" w:fill="EDF1F5"/>
          </w:tcPr>
          <w:p w14:paraId="49ECEDF3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6A74CD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52" w:type="dxa"/>
          </w:tcPr>
          <w:p w14:paraId="58793589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deviceId</w:t>
            </w:r>
          </w:p>
        </w:tc>
        <w:tc>
          <w:tcPr>
            <w:tcW w:w="1348" w:type="dxa"/>
          </w:tcPr>
          <w:p w14:paraId="1413E8BE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字符串</w:t>
            </w:r>
          </w:p>
        </w:tc>
        <w:tc>
          <w:tcPr>
            <w:tcW w:w="2800" w:type="dxa"/>
          </w:tcPr>
          <w:p w14:paraId="6F1A3C6F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设备唯一标识</w:t>
            </w:r>
          </w:p>
        </w:tc>
        <w:tc>
          <w:tcPr>
            <w:tcW w:w="2904" w:type="dxa"/>
          </w:tcPr>
          <w:p w14:paraId="00AD9214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3 台设备，后 8 位可作短标识</w:t>
            </w:r>
          </w:p>
        </w:tc>
      </w:tr>
      <w:tr w14:paraId="160603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52" w:type="dxa"/>
          </w:tcPr>
          <w:p w14:paraId="4E8D40A8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timeMili</w:t>
            </w:r>
          </w:p>
        </w:tc>
        <w:tc>
          <w:tcPr>
            <w:tcW w:w="1348" w:type="dxa"/>
          </w:tcPr>
          <w:p w14:paraId="44B9EF66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浮点字符串</w:t>
            </w:r>
          </w:p>
        </w:tc>
        <w:tc>
          <w:tcPr>
            <w:tcW w:w="2800" w:type="dxa"/>
          </w:tcPr>
          <w:p w14:paraId="3FC658EA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毫秒时间戳</w:t>
            </w:r>
          </w:p>
        </w:tc>
        <w:tc>
          <w:tcPr>
            <w:tcW w:w="2904" w:type="dxa"/>
          </w:tcPr>
          <w:p w14:paraId="4862BEF8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70.0% 缺失</w:t>
            </w:r>
          </w:p>
        </w:tc>
      </w:tr>
      <w:tr w14:paraId="0AF689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52" w:type="dxa"/>
          </w:tcPr>
          <w:p w14:paraId="4DA5B2B0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timestamp</w:t>
            </w:r>
          </w:p>
        </w:tc>
        <w:tc>
          <w:tcPr>
            <w:tcW w:w="1348" w:type="dxa"/>
          </w:tcPr>
          <w:p w14:paraId="22BF3866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字符串</w:t>
            </w:r>
          </w:p>
        </w:tc>
        <w:tc>
          <w:tcPr>
            <w:tcW w:w="2800" w:type="dxa"/>
          </w:tcPr>
          <w:p w14:paraId="0C432FE1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采集时间</w:t>
            </w:r>
          </w:p>
        </w:tc>
        <w:tc>
          <w:tcPr>
            <w:tcW w:w="2904" w:type="dxa"/>
          </w:tcPr>
          <w:p w14:paraId="7602A583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格式为 YYYY-mm-dd HH:MM:SS.ffffff</w:t>
            </w:r>
          </w:p>
        </w:tc>
      </w:tr>
      <w:tr w14:paraId="367B9E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52" w:type="dxa"/>
          </w:tcPr>
          <w:p w14:paraId="5B74499D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value</w:t>
            </w:r>
          </w:p>
        </w:tc>
        <w:tc>
          <w:tcPr>
            <w:tcW w:w="1348" w:type="dxa"/>
          </w:tcPr>
          <w:p w14:paraId="6AA9398A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字符串</w:t>
            </w:r>
          </w:p>
        </w:tc>
        <w:tc>
          <w:tcPr>
            <w:tcW w:w="2800" w:type="dxa"/>
          </w:tcPr>
          <w:p w14:paraId="48CA1DEF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变量取值</w:t>
            </w:r>
          </w:p>
        </w:tc>
        <w:tc>
          <w:tcPr>
            <w:tcW w:w="2904" w:type="dxa"/>
          </w:tcPr>
          <w:p w14:paraId="72DF5886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定位为“纬度,经度,海拔”，其余为数值</w:t>
            </w:r>
          </w:p>
        </w:tc>
      </w:tr>
      <w:tr w14:paraId="665FEEA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52" w:type="dxa"/>
          </w:tcPr>
          <w:p w14:paraId="2BD41E4F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variable</w:t>
            </w:r>
          </w:p>
        </w:tc>
        <w:tc>
          <w:tcPr>
            <w:tcW w:w="1348" w:type="dxa"/>
          </w:tcPr>
          <w:p w14:paraId="60F94CFC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字符串</w:t>
            </w:r>
          </w:p>
        </w:tc>
        <w:tc>
          <w:tcPr>
            <w:tcW w:w="2800" w:type="dxa"/>
          </w:tcPr>
          <w:p w14:paraId="3A38CA42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变量名称</w:t>
            </w:r>
          </w:p>
        </w:tc>
        <w:tc>
          <w:tcPr>
            <w:tcW w:w="2904" w:type="dxa"/>
          </w:tcPr>
          <w:p w14:paraId="48A86FF2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52 种，含 OBD PID 与自采信号</w:t>
            </w:r>
          </w:p>
        </w:tc>
      </w:tr>
      <w:tr w14:paraId="32CE92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52" w:type="dxa"/>
          </w:tcPr>
          <w:p w14:paraId="512A8998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alarmClass</w:t>
            </w:r>
          </w:p>
        </w:tc>
        <w:tc>
          <w:tcPr>
            <w:tcW w:w="1348" w:type="dxa"/>
          </w:tcPr>
          <w:p w14:paraId="4E56C008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整数</w:t>
            </w:r>
          </w:p>
        </w:tc>
        <w:tc>
          <w:tcPr>
            <w:tcW w:w="2800" w:type="dxa"/>
          </w:tcPr>
          <w:p w14:paraId="45F8FCED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告警类别</w:t>
            </w:r>
          </w:p>
        </w:tc>
        <w:tc>
          <w:tcPr>
            <w:tcW w:w="2904" w:type="dxa"/>
          </w:tcPr>
          <w:p w14:paraId="23540368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0 表示正常，1—5 为不同告警类别</w:t>
            </w:r>
          </w:p>
        </w:tc>
      </w:tr>
    </w:tbl>
    <w:p w14:paraId="07D3F7E7">
      <w:pPr>
        <w:spacing w:after="40"/>
      </w:pPr>
    </w:p>
    <w:p w14:paraId="496C9B50">
      <w:pPr>
        <w:pStyle w:val="3"/>
        <w:spacing w:before="200" w:after="100" w:line="336" w:lineRule="auto"/>
      </w:pPr>
      <w:bookmarkStart w:id="7" w:name="_Toc24722"/>
      <w:r>
        <w:rPr>
          <w:rFonts w:ascii="黑体" w:hAnsi="黑体" w:eastAsia="黑体"/>
          <w:b/>
          <w:sz w:val="25"/>
        </w:rPr>
        <w:t>2.2  变量构成</w:t>
      </w:r>
      <w:bookmarkEnd w:id="7"/>
    </w:p>
    <w:p w14:paraId="27A27063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52 种变量可归为五组（表 3）：定位、动力总成、车身姿态、电气与状态标志、诊断与排放。其中定位（POSITION）占全部记录的 52%，是上报最频繁的变量；而近 30 种（27 种）OBD 变量记录数不足 1,000 条，个别变量（如 FUEL TYPE、ENGINE REFERENCE TORQUE）仅十余条。这种“长尾”分布意味着：任何按变量统计的分析都要注意样本量，不能把记录数为个位数的变量与高频变量等同看待。各设备的记录量与变量的记录量分布见图 1。</w:t>
      </w:r>
    </w:p>
    <w:p w14:paraId="10DD503C">
      <w:pPr>
        <w:keepNext/>
        <w:keepLines/>
        <w:spacing w:before="160" w:after="60" w:line="276" w:lineRule="auto"/>
        <w:jc w:val="center"/>
      </w:pPr>
      <w:r>
        <w:rPr>
          <w:rFonts w:ascii="宋体" w:hAnsi="宋体" w:eastAsia="宋体"/>
          <w:b w:val="0"/>
          <w:sz w:val="21"/>
        </w:rPr>
        <w:t>表3  变量分组与记录量</w:t>
      </w:r>
    </w:p>
    <w:tbl>
      <w:tblPr>
        <w:tblStyle w:val="6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2"/>
        <w:gridCol w:w="2132"/>
        <w:gridCol w:w="2132"/>
        <w:gridCol w:w="2132"/>
      </w:tblGrid>
      <w:tr w14:paraId="758D11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73" w:type="dxa"/>
            <w:shd w:val="clear" w:color="auto" w:fill="EDF1F5"/>
          </w:tcPr>
          <w:p w14:paraId="1F5B788F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变量组</w:t>
            </w:r>
          </w:p>
        </w:tc>
        <w:tc>
          <w:tcPr>
            <w:tcW w:w="3910" w:type="dxa"/>
            <w:shd w:val="clear" w:color="auto" w:fill="EDF1F5"/>
          </w:tcPr>
          <w:p w14:paraId="20ECF9E9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代表变量</w:t>
            </w:r>
          </w:p>
        </w:tc>
        <w:tc>
          <w:tcPr>
            <w:tcW w:w="1271" w:type="dxa"/>
            <w:shd w:val="clear" w:color="auto" w:fill="EDF1F5"/>
          </w:tcPr>
          <w:p w14:paraId="3861084D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记录数</w:t>
            </w:r>
          </w:p>
        </w:tc>
        <w:tc>
          <w:tcPr>
            <w:tcW w:w="2150" w:type="dxa"/>
            <w:shd w:val="clear" w:color="auto" w:fill="EDF1F5"/>
          </w:tcPr>
          <w:p w14:paraId="40D77089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  <w:tr w14:paraId="6D3A58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73" w:type="dxa"/>
          </w:tcPr>
          <w:p w14:paraId="25F6DDE4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定位</w:t>
            </w:r>
          </w:p>
        </w:tc>
        <w:tc>
          <w:tcPr>
            <w:tcW w:w="3910" w:type="dxa"/>
          </w:tcPr>
          <w:p w14:paraId="7F78CBFF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POSITION（纬度,经度,海拔）</w:t>
            </w:r>
          </w:p>
        </w:tc>
        <w:tc>
          <w:tcPr>
            <w:tcW w:w="1271" w:type="dxa"/>
          </w:tcPr>
          <w:p w14:paraId="47FC37B4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90,355</w:t>
            </w:r>
          </w:p>
        </w:tc>
        <w:tc>
          <w:tcPr>
            <w:tcW w:w="2150" w:type="dxa"/>
          </w:tcPr>
          <w:p w14:paraId="680066A2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轨迹还原、里程计算</w:t>
            </w:r>
          </w:p>
        </w:tc>
      </w:tr>
      <w:tr w14:paraId="5E37793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73" w:type="dxa"/>
          </w:tcPr>
          <w:p w14:paraId="2920A428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动力总成</w:t>
            </w:r>
          </w:p>
        </w:tc>
        <w:tc>
          <w:tcPr>
            <w:tcW w:w="3910" w:type="dxa"/>
          </w:tcPr>
          <w:p w14:paraId="4D6155E9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ENGINE RPM、Vehicle speed、THROTTLE POSITION、CALCULATED ENGINE LOAD</w:t>
            </w:r>
          </w:p>
        </w:tc>
        <w:tc>
          <w:tcPr>
            <w:tcW w:w="1271" w:type="dxa"/>
          </w:tcPr>
          <w:p w14:paraId="689A2332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3,803—4,514</w:t>
            </w:r>
          </w:p>
        </w:tc>
        <w:tc>
          <w:tcPr>
            <w:tcW w:w="2150" w:type="dxa"/>
          </w:tcPr>
          <w:p w14:paraId="63E56A10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运行状态与工况判别</w:t>
            </w:r>
          </w:p>
        </w:tc>
      </w:tr>
      <w:tr w14:paraId="0C5EF3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73" w:type="dxa"/>
          </w:tcPr>
          <w:p w14:paraId="4F7CD2F1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车身姿态</w:t>
            </w:r>
          </w:p>
        </w:tc>
        <w:tc>
          <w:tcPr>
            <w:tcW w:w="3910" w:type="dxa"/>
          </w:tcPr>
          <w:p w14:paraId="2105A21C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ACCELERATION X / Y / Z</w:t>
            </w:r>
          </w:p>
        </w:tc>
        <w:tc>
          <w:tcPr>
            <w:tcW w:w="1271" w:type="dxa"/>
          </w:tcPr>
          <w:p w14:paraId="656496DA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4,322—5,046</w:t>
            </w:r>
          </w:p>
        </w:tc>
        <w:tc>
          <w:tcPr>
            <w:tcW w:w="2150" w:type="dxa"/>
          </w:tcPr>
          <w:p w14:paraId="0BC87103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急加速、急刹、转弯与颠簸识别</w:t>
            </w:r>
          </w:p>
        </w:tc>
      </w:tr>
      <w:tr w14:paraId="47DE3C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73" w:type="dxa"/>
          </w:tcPr>
          <w:p w14:paraId="76EC441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电气与状态</w:t>
            </w:r>
          </w:p>
        </w:tc>
        <w:tc>
          <w:tcPr>
            <w:tcW w:w="3910" w:type="dxa"/>
          </w:tcPr>
          <w:p w14:paraId="6CA68585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EXTERNAL BATTERY、INTERNAL BATTERY、IGNITION_STATUS、IDLING、TOWING</w:t>
            </w:r>
          </w:p>
        </w:tc>
        <w:tc>
          <w:tcPr>
            <w:tcW w:w="1271" w:type="dxa"/>
          </w:tcPr>
          <w:p w14:paraId="6DC8C6F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1,817—9,625</w:t>
            </w:r>
          </w:p>
        </w:tc>
        <w:tc>
          <w:tcPr>
            <w:tcW w:w="2150" w:type="dxa"/>
          </w:tcPr>
          <w:p w14:paraId="059AE03F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设备供电、点火与作业状态</w:t>
            </w:r>
          </w:p>
        </w:tc>
      </w:tr>
      <w:tr w14:paraId="22A04E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73" w:type="dxa"/>
          </w:tcPr>
          <w:p w14:paraId="731142C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诊断与排放</w:t>
            </w:r>
          </w:p>
        </w:tc>
        <w:tc>
          <w:tcPr>
            <w:tcW w:w="3910" w:type="dxa"/>
          </w:tcPr>
          <w:p w14:paraId="586CF1CF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冷却液温度、催化器温度、燃油修正、氧传感器、蒸发吹扫等 30 余项</w:t>
            </w:r>
          </w:p>
        </w:tc>
        <w:tc>
          <w:tcPr>
            <w:tcW w:w="1271" w:type="dxa"/>
          </w:tcPr>
          <w:p w14:paraId="04F30603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12—2,290</w:t>
            </w:r>
          </w:p>
        </w:tc>
        <w:tc>
          <w:tcPr>
            <w:tcW w:w="2150" w:type="dxa"/>
          </w:tcPr>
          <w:p w14:paraId="5BF93FE7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发动机工况与排放诊断</w:t>
            </w:r>
          </w:p>
        </w:tc>
      </w:tr>
    </w:tbl>
    <w:p w14:paraId="6F477DB6">
      <w:pPr>
        <w:spacing w:after="40"/>
      </w:pPr>
    </w:p>
    <w:p w14:paraId="3AB68D50">
      <w:pPr>
        <w:keepNext/>
        <w:spacing w:before="160" w:after="0"/>
        <w:jc w:val="center"/>
      </w:pPr>
      <w:r>
        <w:drawing>
          <wp:inline distT="0" distB="0" distL="114300" distR="114300">
            <wp:extent cx="5255895" cy="3295015"/>
            <wp:effectExtent l="0" t="0" r="1905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9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7AF2">
      <w:pPr>
        <w:keepLines/>
        <w:spacing w:before="60" w:after="200" w:line="276" w:lineRule="auto"/>
        <w:jc w:val="center"/>
      </w:pPr>
      <w:r>
        <w:rPr>
          <w:rFonts w:ascii="宋体" w:hAnsi="宋体" w:eastAsia="宋体"/>
          <w:b w:val="0"/>
          <w:sz w:val="21"/>
        </w:rPr>
        <w:t>图1  车辆遥测数据总览：(a) 各设备记录量；(b) 覆盖时段；(c) 变量记录量 Top22</w:t>
      </w:r>
    </w:p>
    <w:p w14:paraId="3E1DA4FE">
      <w:pPr>
        <w:pStyle w:val="3"/>
        <w:spacing w:before="200" w:after="100" w:line="336" w:lineRule="auto"/>
      </w:pPr>
      <w:bookmarkStart w:id="8" w:name="_Toc23621"/>
      <w:r>
        <w:rPr>
          <w:rFonts w:ascii="黑体" w:hAnsi="黑体" w:eastAsia="黑体"/>
          <w:b/>
          <w:sz w:val="25"/>
        </w:rPr>
        <w:t>2.3  数据特点与处理难点</w:t>
      </w:r>
      <w:bookmarkEnd w:id="8"/>
    </w:p>
    <w:p w14:paraId="0F147982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在正式清洗前，先对数据结构做了一次体检，发现以下四个特点，它们决定了后续的处理策略：</w:t>
      </w:r>
    </w:p>
    <w:p w14:paraId="5AF94F53">
      <w:pPr>
        <w:spacing w:after="0" w:line="360" w:lineRule="auto"/>
        <w:ind w:left="420" w:hanging="240" w:hangingChars="100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长表稀疏</w:t>
      </w:r>
      <w:r>
        <w:rPr>
          <w:rFonts w:ascii="宋体" w:hAnsi="宋体" w:eastAsia="宋体"/>
          <w:b w:val="0"/>
          <w:sz w:val="24"/>
        </w:rPr>
        <w:t>：按（设备，时间戳）透视后为 18,532 行 × 52 列（含设备、时间两列与 50 个变量列），整体填充率仅 9.0%，说明任一时刻只有极少数变量在上报；</w:t>
      </w:r>
    </w:p>
    <w:p w14:paraId="25B4170C">
      <w:pPr>
        <w:spacing w:after="0" w:line="360" w:lineRule="auto"/>
        <w:ind w:left="420" w:hanging="240" w:hangingChars="100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频率不均</w:t>
      </w:r>
      <w:r>
        <w:rPr>
          <w:rFonts w:ascii="宋体" w:hAnsi="宋体" w:eastAsia="宋体"/>
          <w:b w:val="0"/>
          <w:sz w:val="24"/>
        </w:rPr>
        <w:t>：定位每 3 秒左右一条，车速、转速等 OBD 信号可能间隔数分钟，直接按时间截面对齐会产生大量空值；</w:t>
      </w:r>
    </w:p>
    <w:p w14:paraId="74EED9EE">
      <w:pPr>
        <w:spacing w:after="0" w:line="360" w:lineRule="auto"/>
        <w:ind w:left="420" w:hanging="240" w:hangingChars="100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复合字段与脏数据</w:t>
      </w:r>
      <w:r>
        <w:rPr>
          <w:rFonts w:ascii="宋体" w:hAnsi="宋体" w:eastAsia="宋体"/>
          <w:b w:val="0"/>
          <w:sz w:val="24"/>
        </w:rPr>
        <w:t>：定位为字符串拼接，其中 10,517 条经纬度或海拔明显越界（如经度为 0、海拔 −1677 m）；另有 29 条记录的变量名被误标为 PIDNameNotAvailable，取值却是定位串；</w:t>
      </w:r>
    </w:p>
    <w:p w14:paraId="320761BB">
      <w:pPr>
        <w:spacing w:after="0" w:line="360" w:lineRule="auto"/>
        <w:ind w:left="420" w:hanging="240" w:hangingChars="100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标签粒度</w:t>
      </w:r>
      <w:r>
        <w:rPr>
          <w:rFonts w:ascii="宋体" w:hAnsi="宋体" w:eastAsia="宋体"/>
          <w:b w:val="0"/>
          <w:sz w:val="24"/>
        </w:rPr>
        <w:t>：同一时间戳内可能同时出现多个不同类别的告警读数（同一时刻最多 6 种取值），说明 alarmClass 描述的是“这条读数触发了哪条规则”，而不是“整车此刻的状态”。</w:t>
      </w:r>
    </w:p>
    <w:p w14:paraId="31F3246C">
      <w:pPr>
        <w:pStyle w:val="2"/>
        <w:spacing w:before="280" w:after="160" w:line="336" w:lineRule="auto"/>
      </w:pPr>
      <w:bookmarkStart w:id="9" w:name="_Toc3961"/>
      <w:r>
        <w:rPr>
          <w:rFonts w:ascii="黑体" w:hAnsi="黑体" w:eastAsia="黑体"/>
          <w:b w:val="0"/>
          <w:sz w:val="28"/>
        </w:rPr>
        <w:t>3. 数据清洗与预处理</w:t>
      </w:r>
      <w:bookmarkEnd w:id="9"/>
    </w:p>
    <w:p w14:paraId="7A234CD0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清洗脚本为 src/prepare.py，处理顺序是：按字符串读入（避免类型推断造成截断）→ 去重 → 时间解析与重建 → 定位字段拆分 → 数值化 → 越界置空 → 长表转宽表 → 周期聚合。总体原则是“可疑值置空而不整行删除”，以免损失同一时刻其他变量的有效信息，同时所有修改都由脚本完成、可复现。</w:t>
      </w:r>
    </w:p>
    <w:p w14:paraId="5761F08E">
      <w:pPr>
        <w:pStyle w:val="3"/>
        <w:spacing w:before="200" w:after="100" w:line="336" w:lineRule="auto"/>
      </w:pPr>
      <w:bookmarkStart w:id="10" w:name="_Toc12389"/>
      <w:r>
        <w:rPr>
          <w:rFonts w:ascii="黑体" w:hAnsi="黑体" w:eastAsia="黑体"/>
          <w:b/>
          <w:sz w:val="25"/>
        </w:rPr>
        <w:t>3.1  缺失值处理</w:t>
      </w:r>
      <w:bookmarkEnd w:id="10"/>
    </w:p>
    <w:p w14:paraId="654AA078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原始数据的缺失集中在 timeMili 一列：共 121,651 行缺失（占 70.0%），其余 5 列无缺失。由于 timeMili 与 timestamp 表达的是同一信息，且 timestamp 完整无缺，因此</w:t>
      </w:r>
      <w:r>
        <w:rPr>
          <w:rFonts w:ascii="宋体" w:hAnsi="宋体" w:eastAsia="宋体"/>
          <w:b/>
          <w:sz w:val="24"/>
        </w:rPr>
        <w:t>弃用 timeMili，改由 timestamp 重新生成毫秒时间戳</w:t>
      </w:r>
      <w:r>
        <w:rPr>
          <w:rFonts w:ascii="宋体" w:hAnsi="宋体" w:eastAsia="宋体"/>
          <w:b w:val="0"/>
          <w:sz w:val="24"/>
        </w:rPr>
        <w:t>，转换后两列完全一致，既保留了时间精度（微秒级）又消除了缺失。</w:t>
      </w:r>
    </w:p>
    <w:p w14:paraId="0055E26B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数值层面的缺失不是“丢数据”，而是“没上报”。透视成宽表后，缺失反映了各传感器不同的上报周期。对此采取两种策略：对车速、转速、加速度等连续信号，在同一设备内做前向填充（最多 12 步，约 40 秒），使整体可用率由 9.0% 提升到 19.6%；对二值状态量与诊断类变量不做填充（填充会伪造状态切换），仅在建模时增加“是否缺失”指示变量。</w:t>
      </w:r>
    </w:p>
    <w:p w14:paraId="6EFD35FB">
      <w:pPr>
        <w:pStyle w:val="3"/>
        <w:spacing w:before="200" w:after="100" w:line="336" w:lineRule="auto"/>
      </w:pPr>
      <w:bookmarkStart w:id="11" w:name="_Toc21940"/>
      <w:r>
        <w:rPr>
          <w:rFonts w:ascii="黑体" w:hAnsi="黑体" w:eastAsia="黑体"/>
          <w:b/>
          <w:sz w:val="25"/>
        </w:rPr>
        <w:t>3.2  异常值检测与处理</w:t>
      </w:r>
      <w:bookmarkEnd w:id="11"/>
    </w:p>
    <w:p w14:paraId="21E5293E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异常值分两类处理。</w:t>
      </w:r>
      <w:r>
        <w:rPr>
          <w:rFonts w:ascii="宋体" w:hAnsi="宋体" w:eastAsia="宋体"/>
          <w:b/>
          <w:sz w:val="24"/>
        </w:rPr>
        <w:t>第一类是物理上不可能的取值</w:t>
      </w:r>
      <w:r>
        <w:rPr>
          <w:rFonts w:ascii="宋体" w:hAnsi="宋体" w:eastAsia="宋体"/>
          <w:b w:val="0"/>
          <w:sz w:val="24"/>
        </w:rPr>
        <w:t>，按变量的物理含义设定合理区间并置空：车速 0—220 km/h、转速 0—8000 rpm、三轴加速度 ±15/±20 m/s²、外部电池 8—60 V、内部电量 0—100%、冷却液温度 −40—130 °C、节气门与负荷 0—100%、模块电压 8—16 V。实际命中 104 条（转速 13 条、模块电压 91 条）。</w:t>
      </w:r>
    </w:p>
    <w:p w14:paraId="37F4FEE8">
      <w:pPr>
        <w:spacing w:before="0" w:after="0" w:line="360" w:lineRule="auto"/>
        <w:ind w:firstLine="482" w:firstLineChars="200"/>
        <w:jc w:val="both"/>
      </w:pPr>
      <w:r>
        <w:rPr>
          <w:rFonts w:ascii="宋体" w:hAnsi="宋体" w:eastAsia="宋体"/>
          <w:b/>
          <w:sz w:val="24"/>
        </w:rPr>
        <w:t>第二类是定位字段越界</w:t>
      </w:r>
      <w:r>
        <w:rPr>
          <w:rFonts w:ascii="宋体" w:hAnsi="宋体" w:eastAsia="宋体"/>
          <w:b w:val="0"/>
          <w:sz w:val="24"/>
        </w:rPr>
        <w:t>：数据集主体位于北纬 13.0—13.8°、东经 74.5—74.9°，海拔 −100—2000 m，越界记录共 10,517 条，占定位记录的 11.6%。其中相当一部分是“经纬度为 0”的无效上报，若不剔除会在轨迹图上形成远在南大西洋的假点。</w:t>
      </w:r>
    </w:p>
    <w:p w14:paraId="3C60B58E">
      <w:pPr>
        <w:spacing w:before="0" w:after="0" w:line="360" w:lineRule="auto"/>
        <w:ind w:firstLine="482" w:firstLineChars="200"/>
        <w:jc w:val="both"/>
      </w:pPr>
      <w:r>
        <w:rPr>
          <w:rFonts w:ascii="宋体" w:hAnsi="宋体" w:eastAsia="宋体"/>
          <w:b/>
          <w:sz w:val="24"/>
        </w:rPr>
        <w:t>第三类是统计意义上的离群点</w:t>
      </w:r>
      <w:r>
        <w:rPr>
          <w:rFonts w:ascii="宋体" w:hAnsi="宋体" w:eastAsia="宋体"/>
          <w:b w:val="0"/>
          <w:sz w:val="24"/>
        </w:rPr>
        <w:t>：对 14 个核心变量计算全局均值与标准差，标记 |x−μ|&gt;3σ 的读数，共 671 条（占有效读数 0.8%）。这类点并未删除，而是作为“疑似异常”单独标记：一方面它们可能是真实事件（如急加速、强颠簸），另一方面它们恰好可以在第 6.4 节用于检验“统计异常”与“业务告警”是否一致。</w:t>
      </w:r>
    </w:p>
    <w:p w14:paraId="187FBC6C">
      <w:pPr>
        <w:pStyle w:val="3"/>
        <w:spacing w:before="200" w:after="100" w:line="336" w:lineRule="auto"/>
      </w:pPr>
      <w:bookmarkStart w:id="12" w:name="_Toc26243"/>
      <w:r>
        <w:rPr>
          <w:rFonts w:ascii="黑体" w:hAnsi="黑体" w:eastAsia="黑体"/>
          <w:b/>
          <w:sz w:val="25"/>
        </w:rPr>
        <w:t>3.3  数据类型转换与字段拆分</w:t>
      </w:r>
      <w:bookmarkEnd w:id="12"/>
    </w:p>
    <w:p w14:paraId="4D1DDDEB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类型转换与拆分共四步。（1）</w:t>
      </w:r>
      <w:r>
        <w:rPr>
          <w:rFonts w:ascii="宋体" w:hAnsi="宋体" w:eastAsia="宋体"/>
          <w:b/>
          <w:sz w:val="24"/>
        </w:rPr>
        <w:t>时间</w:t>
      </w:r>
      <w:r>
        <w:rPr>
          <w:rFonts w:ascii="宋体" w:hAnsi="宋体" w:eastAsia="宋体"/>
          <w:b w:val="0"/>
          <w:sz w:val="24"/>
        </w:rPr>
        <w:t>：timestamp 由字符串转为 datetime，格式为 %Y-%m-%d %H:%M:%S.%f，解析失败 0 条；同时派生小时、星期、是否周末等时间特征。（2）</w:t>
      </w:r>
      <w:r>
        <w:rPr>
          <w:rFonts w:ascii="宋体" w:hAnsi="宋体" w:eastAsia="宋体"/>
          <w:b/>
          <w:sz w:val="24"/>
        </w:rPr>
        <w:t>定位拆分</w:t>
      </w:r>
      <w:r>
        <w:rPr>
          <w:rFonts w:ascii="宋体" w:hAnsi="宋体" w:eastAsia="宋体"/>
          <w:b w:val="0"/>
          <w:sz w:val="24"/>
        </w:rPr>
        <w:t>：对 POSITION 变量按逗号拆分，得到 lat、lon、alt 三列并转为浮点，90,355 条记录全部拆分成功。（3）</w:t>
      </w:r>
      <w:r>
        <w:rPr>
          <w:rFonts w:ascii="宋体" w:hAnsi="宋体" w:eastAsia="宋体"/>
          <w:b/>
          <w:sz w:val="24"/>
        </w:rPr>
        <w:t>数值化</w:t>
      </w:r>
      <w:r>
        <w:rPr>
          <w:rFonts w:ascii="宋体" w:hAnsi="宋体" w:eastAsia="宋体"/>
          <w:b w:val="0"/>
          <w:sz w:val="24"/>
        </w:rPr>
        <w:t>：其余变量的 value 统一 to_numeric，失败记录即前述 29 条错标数据，直接剔除。（4）</w:t>
      </w:r>
      <w:r>
        <w:rPr>
          <w:rFonts w:ascii="宋体" w:hAnsi="宋体" w:eastAsia="宋体"/>
          <w:b/>
          <w:sz w:val="24"/>
        </w:rPr>
        <w:t>类别量</w:t>
      </w:r>
      <w:r>
        <w:rPr>
          <w:rFonts w:ascii="宋体" w:hAnsi="宋体" w:eastAsia="宋体"/>
          <w:b w:val="0"/>
          <w:sz w:val="24"/>
        </w:rPr>
        <w:t>：alarmClass 转为整型（0—5），IGNITION_STATUS、IDLING、TOWING 保持 0/1 整型，便于分组与建模。清洗规则与处理量汇总见表 4。</w:t>
      </w:r>
    </w:p>
    <w:p w14:paraId="620AE70A">
      <w:pPr>
        <w:keepNext/>
        <w:keepLines/>
        <w:spacing w:before="160" w:after="60" w:line="276" w:lineRule="auto"/>
        <w:jc w:val="center"/>
      </w:pPr>
      <w:r>
        <w:rPr>
          <w:rFonts w:ascii="宋体" w:hAnsi="宋体" w:eastAsia="宋体"/>
          <w:b w:val="0"/>
          <w:sz w:val="21"/>
        </w:rPr>
        <w:t>表4  数据清洗规则与处理量</w:t>
      </w:r>
    </w:p>
    <w:tbl>
      <w:tblPr>
        <w:tblStyle w:val="6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2"/>
        <w:gridCol w:w="2132"/>
        <w:gridCol w:w="2132"/>
        <w:gridCol w:w="2132"/>
      </w:tblGrid>
      <w:tr w14:paraId="7DD320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66" w:type="dxa"/>
            <w:shd w:val="clear" w:color="auto" w:fill="EDF1F5"/>
          </w:tcPr>
          <w:p w14:paraId="36FAD424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处理环节</w:t>
            </w:r>
          </w:p>
        </w:tc>
        <w:tc>
          <w:tcPr>
            <w:tcW w:w="3421" w:type="dxa"/>
            <w:shd w:val="clear" w:color="auto" w:fill="EDF1F5"/>
          </w:tcPr>
          <w:p w14:paraId="67342C0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规则</w:t>
            </w:r>
          </w:p>
        </w:tc>
        <w:tc>
          <w:tcPr>
            <w:tcW w:w="1271" w:type="dxa"/>
            <w:shd w:val="clear" w:color="auto" w:fill="EDF1F5"/>
          </w:tcPr>
          <w:p w14:paraId="12303D31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处理量</w:t>
            </w:r>
          </w:p>
        </w:tc>
        <w:tc>
          <w:tcPr>
            <w:tcW w:w="2346" w:type="dxa"/>
            <w:shd w:val="clear" w:color="auto" w:fill="EDF1F5"/>
          </w:tcPr>
          <w:p w14:paraId="783B22A9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64547E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6" w:type="dxa"/>
          </w:tcPr>
          <w:p w14:paraId="16BCC828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整行/主键重复</w:t>
            </w:r>
          </w:p>
        </w:tc>
        <w:tc>
          <w:tcPr>
            <w:tcW w:w="3421" w:type="dxa"/>
          </w:tcPr>
          <w:p w14:paraId="361DAA05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全字段去重；(deviceId, timestamp, variable) 去重</w:t>
            </w:r>
          </w:p>
        </w:tc>
        <w:tc>
          <w:tcPr>
            <w:tcW w:w="1271" w:type="dxa"/>
          </w:tcPr>
          <w:p w14:paraId="4D25408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 行</w:t>
            </w:r>
          </w:p>
        </w:tc>
        <w:tc>
          <w:tcPr>
            <w:tcW w:w="2346" w:type="dxa"/>
          </w:tcPr>
          <w:p w14:paraId="3AE08444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原始数据无重复上报</w:t>
            </w:r>
          </w:p>
        </w:tc>
      </w:tr>
      <w:tr w14:paraId="57C483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6" w:type="dxa"/>
          </w:tcPr>
          <w:p w14:paraId="6746A36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时间重建</w:t>
            </w:r>
          </w:p>
        </w:tc>
        <w:tc>
          <w:tcPr>
            <w:tcW w:w="3421" w:type="dxa"/>
          </w:tcPr>
          <w:p w14:paraId="27EE9B2B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由 timestamp 重新生成毫秒时间戳</w:t>
            </w:r>
          </w:p>
        </w:tc>
        <w:tc>
          <w:tcPr>
            <w:tcW w:w="1271" w:type="dxa"/>
          </w:tcPr>
          <w:p w14:paraId="2D94F64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121,651 行</w:t>
            </w:r>
          </w:p>
        </w:tc>
        <w:tc>
          <w:tcPr>
            <w:tcW w:w="2346" w:type="dxa"/>
          </w:tcPr>
          <w:p w14:paraId="6FD1B5E5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timeMili 缺失 70%</w:t>
            </w:r>
          </w:p>
        </w:tc>
      </w:tr>
      <w:tr w14:paraId="1F596C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6" w:type="dxa"/>
          </w:tcPr>
          <w:p w14:paraId="267ADA58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定位拆分</w:t>
            </w:r>
          </w:p>
        </w:tc>
        <w:tc>
          <w:tcPr>
            <w:tcW w:w="3421" w:type="dxa"/>
          </w:tcPr>
          <w:p w14:paraId="6DD93F01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按逗号拆为 lat / lon / alt</w:t>
            </w:r>
          </w:p>
        </w:tc>
        <w:tc>
          <w:tcPr>
            <w:tcW w:w="1271" w:type="dxa"/>
          </w:tcPr>
          <w:p w14:paraId="61D36A52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90,355 行</w:t>
            </w:r>
          </w:p>
        </w:tc>
        <w:tc>
          <w:tcPr>
            <w:tcW w:w="2346" w:type="dxa"/>
          </w:tcPr>
          <w:p w14:paraId="5ED55B9D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拆分成功率 100%</w:t>
            </w:r>
          </w:p>
        </w:tc>
      </w:tr>
      <w:tr w14:paraId="389B5F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6" w:type="dxa"/>
          </w:tcPr>
          <w:p w14:paraId="4E8ADCF1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定位越界</w:t>
            </w:r>
          </w:p>
        </w:tc>
        <w:tc>
          <w:tcPr>
            <w:tcW w:w="3421" w:type="dxa"/>
          </w:tcPr>
          <w:p w14:paraId="4F271659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lat∉[13.0,13.8]、lon∉[74.5,74.9]、alt∉[-100,2000] 置空</w:t>
            </w:r>
          </w:p>
        </w:tc>
        <w:tc>
          <w:tcPr>
            <w:tcW w:w="1271" w:type="dxa"/>
          </w:tcPr>
          <w:p w14:paraId="6E7DC553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10,517 行</w:t>
            </w:r>
          </w:p>
        </w:tc>
        <w:tc>
          <w:tcPr>
            <w:tcW w:w="2346" w:type="dxa"/>
          </w:tcPr>
          <w:p w14:paraId="37CC3243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含 0 值与漂移点</w:t>
            </w:r>
          </w:p>
        </w:tc>
      </w:tr>
      <w:tr w14:paraId="564058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6" w:type="dxa"/>
          </w:tcPr>
          <w:p w14:paraId="758D7F84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错标变量</w:t>
            </w:r>
          </w:p>
        </w:tc>
        <w:tc>
          <w:tcPr>
            <w:tcW w:w="3421" w:type="dxa"/>
          </w:tcPr>
          <w:p w14:paraId="6CBC95D5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删除 PIDNameNotAvailable</w:t>
            </w:r>
          </w:p>
        </w:tc>
        <w:tc>
          <w:tcPr>
            <w:tcW w:w="1271" w:type="dxa"/>
          </w:tcPr>
          <w:p w14:paraId="3F773FF2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29 行</w:t>
            </w:r>
          </w:p>
        </w:tc>
        <w:tc>
          <w:tcPr>
            <w:tcW w:w="2346" w:type="dxa"/>
          </w:tcPr>
          <w:p w14:paraId="7F14006E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取值为定位串</w:t>
            </w:r>
          </w:p>
        </w:tc>
      </w:tr>
      <w:tr w14:paraId="160D5C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6" w:type="dxa"/>
          </w:tcPr>
          <w:p w14:paraId="63949BB4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物理范围</w:t>
            </w:r>
          </w:p>
        </w:tc>
        <w:tc>
          <w:tcPr>
            <w:tcW w:w="3421" w:type="dxa"/>
          </w:tcPr>
          <w:p w14:paraId="08D7C84C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各变量设定合理区间，越界置空</w:t>
            </w:r>
          </w:p>
        </w:tc>
        <w:tc>
          <w:tcPr>
            <w:tcW w:w="1271" w:type="dxa"/>
          </w:tcPr>
          <w:p w14:paraId="77E8A8CA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104 条</w:t>
            </w:r>
          </w:p>
        </w:tc>
        <w:tc>
          <w:tcPr>
            <w:tcW w:w="2346" w:type="dxa"/>
          </w:tcPr>
          <w:p w14:paraId="4BCF042A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转速 13 条、模块电压 91 条</w:t>
            </w:r>
          </w:p>
        </w:tc>
      </w:tr>
      <w:tr w14:paraId="48CBCF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6" w:type="dxa"/>
          </w:tcPr>
          <w:p w14:paraId="19261841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3σ 标记</w:t>
            </w:r>
          </w:p>
        </w:tc>
        <w:tc>
          <w:tcPr>
            <w:tcW w:w="3421" w:type="dxa"/>
          </w:tcPr>
          <w:p w14:paraId="5DF29E9E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|x−μ|&gt;3σ 标记为疑似异常（不删除）</w:t>
            </w:r>
          </w:p>
        </w:tc>
        <w:tc>
          <w:tcPr>
            <w:tcW w:w="1271" w:type="dxa"/>
          </w:tcPr>
          <w:p w14:paraId="58B6A5EF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671 条</w:t>
            </w:r>
          </w:p>
        </w:tc>
        <w:tc>
          <w:tcPr>
            <w:tcW w:w="2346" w:type="dxa"/>
          </w:tcPr>
          <w:p w14:paraId="6C9F7E71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用于一致性检验</w:t>
            </w:r>
          </w:p>
        </w:tc>
      </w:tr>
    </w:tbl>
    <w:p w14:paraId="221506AA">
      <w:pPr>
        <w:spacing w:after="40"/>
      </w:pPr>
    </w:p>
    <w:p w14:paraId="7D696D67">
      <w:pPr>
        <w:pStyle w:val="3"/>
        <w:spacing w:before="200" w:after="100" w:line="336" w:lineRule="auto"/>
      </w:pPr>
      <w:bookmarkStart w:id="13" w:name="_Toc10004"/>
      <w:r>
        <w:rPr>
          <w:rFonts w:ascii="黑体" w:hAnsi="黑体" w:eastAsia="黑体"/>
          <w:b/>
          <w:sz w:val="25"/>
        </w:rPr>
        <w:t>3.4  长表转宽表</w:t>
      </w:r>
      <w:bookmarkEnd w:id="13"/>
    </w:p>
    <w:p w14:paraId="0BEA7234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由于采样极不规律，本文采用“先对齐、再聚合”的两级方案，把长表规整为三种宽表：</w:t>
      </w:r>
    </w:p>
    <w:p w14:paraId="39D2D264">
      <w:pPr>
        <w:spacing w:after="0" w:line="360" w:lineRule="auto"/>
        <w:ind w:left="420" w:hanging="240" w:hangingChars="100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时间戳级宽表</w:t>
      </w:r>
      <w:r>
        <w:rPr>
          <w:rFonts w:ascii="宋体" w:hAnsi="宋体" w:eastAsia="宋体"/>
          <w:b w:val="0"/>
          <w:sz w:val="24"/>
        </w:rPr>
        <w:t>：以 (deviceId, timestamp) 为主键透视，得到 18,532 行 × 52 列，用于“某一时刻各信号取值”的还原，如第 5 章的告警—状态交叉分析；</w:t>
      </w:r>
    </w:p>
    <w:p w14:paraId="66CF7101">
      <w:pPr>
        <w:spacing w:after="0" w:line="360" w:lineRule="auto"/>
        <w:ind w:left="420" w:hanging="240" w:hangingChars="100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1 分钟聚合宽表</w:t>
      </w:r>
      <w:r>
        <w:rPr>
          <w:rFonts w:ascii="宋体" w:hAnsi="宋体" w:eastAsia="宋体"/>
          <w:b w:val="0"/>
          <w:sz w:val="24"/>
        </w:rPr>
        <w:t>：按分钟分箱，对核心信号取均值与极值、对加速度取绝对最大值，并附加定位聚合量（窗口内行驶距离、平均海拔）与告警标签，共 6,201 个窗口，用于时间规律分析；</w:t>
      </w:r>
    </w:p>
    <w:p w14:paraId="39527231">
      <w:pPr>
        <w:spacing w:after="0" w:line="360" w:lineRule="auto"/>
        <w:ind w:left="420" w:hanging="240" w:hangingChars="100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5 分钟聚合宽表</w:t>
      </w:r>
      <w:r>
        <w:rPr>
          <w:rFonts w:ascii="宋体" w:hAnsi="宋体" w:eastAsia="宋体"/>
          <w:b w:val="0"/>
          <w:sz w:val="24"/>
        </w:rPr>
        <w:t>：同上，共 1,410 个窗口，用于窗口级统计与第 6.5 节建模。</w:t>
      </w:r>
    </w:p>
    <w:p w14:paraId="1128D7AA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需要说明的是，即使聚合到 5 分钟，也只有约 15.0% 的窗口含有车速读数。这不是清洗不当，而是上报机制决定的稀疏性，它直接决定了本文的建模策略：把主战场放在“读数级”（每个变量每次上报作为一个样本），窗口级数据只用于趋势统计与提前预警实验。三种宽表的规格见表 5。</w:t>
      </w:r>
    </w:p>
    <w:p w14:paraId="139A7BBB">
      <w:pPr>
        <w:keepNext/>
        <w:keepLines/>
        <w:spacing w:before="160" w:after="60" w:line="276" w:lineRule="auto"/>
        <w:jc w:val="center"/>
      </w:pPr>
      <w:r>
        <w:rPr>
          <w:rFonts w:ascii="宋体" w:hAnsi="宋体" w:eastAsia="宋体"/>
          <w:b w:val="0"/>
          <w:sz w:val="21"/>
        </w:rPr>
        <w:t>表5  规整后数据表规格</w:t>
      </w:r>
    </w:p>
    <w:tbl>
      <w:tblPr>
        <w:tblStyle w:val="6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3"/>
        <w:gridCol w:w="2843"/>
        <w:gridCol w:w="2843"/>
      </w:tblGrid>
      <w:tr w14:paraId="5AA4F1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14" w:type="dxa"/>
            <w:shd w:val="clear" w:color="auto" w:fill="EDF1F5"/>
          </w:tcPr>
          <w:p w14:paraId="4DAFB34F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数据表</w:t>
            </w:r>
          </w:p>
        </w:tc>
        <w:tc>
          <w:tcPr>
            <w:tcW w:w="2261" w:type="dxa"/>
            <w:shd w:val="clear" w:color="auto" w:fill="EDF1F5"/>
          </w:tcPr>
          <w:p w14:paraId="7B00E704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规模</w:t>
            </w:r>
          </w:p>
        </w:tc>
        <w:tc>
          <w:tcPr>
            <w:tcW w:w="3229" w:type="dxa"/>
            <w:shd w:val="clear" w:color="auto" w:fill="EDF1F5"/>
          </w:tcPr>
          <w:p w14:paraId="7C96D86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主要用途</w:t>
            </w:r>
          </w:p>
        </w:tc>
      </w:tr>
      <w:tr w14:paraId="2BCCED0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14" w:type="dxa"/>
          </w:tcPr>
          <w:p w14:paraId="6647434D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清洗后长表 clean_long</w:t>
            </w:r>
          </w:p>
        </w:tc>
        <w:tc>
          <w:tcPr>
            <w:tcW w:w="2261" w:type="dxa"/>
          </w:tcPr>
          <w:p w14:paraId="369D6C4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83,359 行</w:t>
            </w:r>
          </w:p>
        </w:tc>
        <w:tc>
          <w:tcPr>
            <w:tcW w:w="3229" w:type="dxa"/>
          </w:tcPr>
          <w:p w14:paraId="175D3353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读数级统计与建模</w:t>
            </w:r>
          </w:p>
        </w:tc>
      </w:tr>
      <w:tr w14:paraId="5DB67C2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14" w:type="dxa"/>
          </w:tcPr>
          <w:p w14:paraId="00424904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定位表 clean_pos</w:t>
            </w:r>
          </w:p>
        </w:tc>
        <w:tc>
          <w:tcPr>
            <w:tcW w:w="2261" w:type="dxa"/>
          </w:tcPr>
          <w:p w14:paraId="09FCD143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79,838 行</w:t>
            </w:r>
          </w:p>
        </w:tc>
        <w:tc>
          <w:tcPr>
            <w:tcW w:w="3229" w:type="dxa"/>
          </w:tcPr>
          <w:p w14:paraId="73D26B18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轨迹与里程</w:t>
            </w:r>
          </w:p>
        </w:tc>
      </w:tr>
      <w:tr w14:paraId="13BF48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14" w:type="dxa"/>
          </w:tcPr>
          <w:p w14:paraId="421F65B3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时间戳级宽表 wide_ts</w:t>
            </w:r>
          </w:p>
        </w:tc>
        <w:tc>
          <w:tcPr>
            <w:tcW w:w="2261" w:type="dxa"/>
          </w:tcPr>
          <w:p w14:paraId="2DAB81B6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18,532 × 52</w:t>
            </w:r>
          </w:p>
        </w:tc>
        <w:tc>
          <w:tcPr>
            <w:tcW w:w="3229" w:type="dxa"/>
          </w:tcPr>
          <w:p w14:paraId="6B786427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同刻多信号对齐</w:t>
            </w:r>
          </w:p>
        </w:tc>
      </w:tr>
      <w:tr w14:paraId="0F092D8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14" w:type="dxa"/>
          </w:tcPr>
          <w:p w14:paraId="7CD82B7E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 分钟宽表 wide_1min</w:t>
            </w:r>
          </w:p>
        </w:tc>
        <w:tc>
          <w:tcPr>
            <w:tcW w:w="2261" w:type="dxa"/>
          </w:tcPr>
          <w:p w14:paraId="35D49418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6,201 × 167</w:t>
            </w:r>
          </w:p>
        </w:tc>
        <w:tc>
          <w:tcPr>
            <w:tcW w:w="3229" w:type="dxa"/>
          </w:tcPr>
          <w:p w14:paraId="69D57006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时间规律、日内分布</w:t>
            </w:r>
          </w:p>
        </w:tc>
      </w:tr>
      <w:tr w14:paraId="3180AD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14" w:type="dxa"/>
          </w:tcPr>
          <w:p w14:paraId="5AD16985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5 分钟宽表 wide_5min</w:t>
            </w:r>
          </w:p>
        </w:tc>
        <w:tc>
          <w:tcPr>
            <w:tcW w:w="2261" w:type="dxa"/>
          </w:tcPr>
          <w:p w14:paraId="73E03D7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1,410 × 167</w:t>
            </w:r>
          </w:p>
        </w:tc>
        <w:tc>
          <w:tcPr>
            <w:tcW w:w="3229" w:type="dxa"/>
          </w:tcPr>
          <w:p w14:paraId="5158BA5C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窗口级建模</w:t>
            </w:r>
          </w:p>
        </w:tc>
      </w:tr>
    </w:tbl>
    <w:p w14:paraId="43A0D450">
      <w:pPr>
        <w:spacing w:after="40"/>
      </w:pPr>
    </w:p>
    <w:p w14:paraId="21ED876F">
      <w:pPr>
        <w:pStyle w:val="3"/>
        <w:spacing w:before="200" w:after="100" w:line="336" w:lineRule="auto"/>
      </w:pPr>
      <w:bookmarkStart w:id="14" w:name="_Toc27863"/>
      <w:r>
        <w:rPr>
          <w:rFonts w:ascii="黑体" w:hAnsi="黑体" w:eastAsia="黑体"/>
          <w:b/>
          <w:sz w:val="25"/>
        </w:rPr>
        <w:t>3.5  清洗结果与数据子集的选择</w:t>
      </w:r>
      <w:bookmarkEnd w:id="14"/>
    </w:p>
    <w:p w14:paraId="5C850061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清洗完成后，三台设备的有效数据量与时间跨度见表 6。</w:t>
      </w:r>
    </w:p>
    <w:p w14:paraId="7EF35F18">
      <w:pPr>
        <w:keepNext/>
        <w:keepLines/>
        <w:spacing w:before="160" w:after="60" w:line="276" w:lineRule="auto"/>
        <w:jc w:val="center"/>
      </w:pPr>
      <w:r>
        <w:rPr>
          <w:rFonts w:ascii="宋体" w:hAnsi="宋体" w:eastAsia="宋体"/>
          <w:b w:val="0"/>
          <w:sz w:val="21"/>
        </w:rPr>
        <w:t>表6  三台设备的有效数据量</w:t>
      </w:r>
    </w:p>
    <w:tbl>
      <w:tblPr>
        <w:tblStyle w:val="6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1421"/>
        <w:gridCol w:w="1421"/>
        <w:gridCol w:w="1421"/>
        <w:gridCol w:w="1421"/>
        <w:gridCol w:w="1421"/>
      </w:tblGrid>
      <w:tr w14:paraId="73C0EF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60" w:type="dxa"/>
            <w:shd w:val="clear" w:color="auto" w:fill="EDF1F5"/>
          </w:tcPr>
          <w:p w14:paraId="719350BF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设备</w:t>
            </w:r>
          </w:p>
        </w:tc>
        <w:tc>
          <w:tcPr>
            <w:tcW w:w="1117" w:type="dxa"/>
            <w:shd w:val="clear" w:color="auto" w:fill="EDF1F5"/>
          </w:tcPr>
          <w:p w14:paraId="6D6472C6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有效读数</w:t>
            </w:r>
          </w:p>
        </w:tc>
        <w:tc>
          <w:tcPr>
            <w:tcW w:w="1804" w:type="dxa"/>
            <w:shd w:val="clear" w:color="auto" w:fill="EDF1F5"/>
          </w:tcPr>
          <w:p w14:paraId="07E7F7BD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起始时间</w:t>
            </w:r>
          </w:p>
        </w:tc>
        <w:tc>
          <w:tcPr>
            <w:tcW w:w="1804" w:type="dxa"/>
            <w:shd w:val="clear" w:color="auto" w:fill="EDF1F5"/>
          </w:tcPr>
          <w:p w14:paraId="6B06EEBB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结束时间</w:t>
            </w:r>
          </w:p>
        </w:tc>
        <w:tc>
          <w:tcPr>
            <w:tcW w:w="1031" w:type="dxa"/>
            <w:shd w:val="clear" w:color="auto" w:fill="EDF1F5"/>
          </w:tcPr>
          <w:p w14:paraId="6CD11963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跨度(h)</w:t>
            </w:r>
          </w:p>
        </w:tc>
        <w:tc>
          <w:tcPr>
            <w:tcW w:w="1288" w:type="dxa"/>
            <w:shd w:val="clear" w:color="auto" w:fill="EDF1F5"/>
          </w:tcPr>
          <w:p w14:paraId="0767AEC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告警读数占比</w:t>
            </w:r>
          </w:p>
        </w:tc>
      </w:tr>
      <w:tr w14:paraId="15B6AF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0" w:type="dxa"/>
          </w:tcPr>
          <w:p w14:paraId="2DBF99DD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车-GAB0gBAQ</w:t>
            </w:r>
          </w:p>
        </w:tc>
        <w:tc>
          <w:tcPr>
            <w:tcW w:w="1117" w:type="dxa"/>
          </w:tcPr>
          <w:p w14:paraId="25BA24C4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11,311</w:t>
            </w:r>
          </w:p>
        </w:tc>
        <w:tc>
          <w:tcPr>
            <w:tcW w:w="1804" w:type="dxa"/>
          </w:tcPr>
          <w:p w14:paraId="598503C7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2020-08-21 14:27</w:t>
            </w:r>
          </w:p>
        </w:tc>
        <w:tc>
          <w:tcPr>
            <w:tcW w:w="1804" w:type="dxa"/>
          </w:tcPr>
          <w:p w14:paraId="1B743BB4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2020-08-24 12:23</w:t>
            </w:r>
          </w:p>
        </w:tc>
        <w:tc>
          <w:tcPr>
            <w:tcW w:w="1031" w:type="dxa"/>
          </w:tcPr>
          <w:p w14:paraId="6707BA7F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69.9</w:t>
            </w:r>
          </w:p>
        </w:tc>
        <w:tc>
          <w:tcPr>
            <w:tcW w:w="1288" w:type="dxa"/>
          </w:tcPr>
          <w:p w14:paraId="3F9EB0D7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58.1%</w:t>
            </w:r>
          </w:p>
        </w:tc>
      </w:tr>
      <w:tr w14:paraId="3E756F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0" w:type="dxa"/>
          </w:tcPr>
          <w:p w14:paraId="730037EE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车-NAB0gBAQ</w:t>
            </w:r>
          </w:p>
        </w:tc>
        <w:tc>
          <w:tcPr>
            <w:tcW w:w="1117" w:type="dxa"/>
          </w:tcPr>
          <w:p w14:paraId="66DD0DC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3,552</w:t>
            </w:r>
          </w:p>
        </w:tc>
        <w:tc>
          <w:tcPr>
            <w:tcW w:w="1804" w:type="dxa"/>
          </w:tcPr>
          <w:p w14:paraId="7054E1A3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2020-08-17 11:31</w:t>
            </w:r>
          </w:p>
        </w:tc>
        <w:tc>
          <w:tcPr>
            <w:tcW w:w="1804" w:type="dxa"/>
          </w:tcPr>
          <w:p w14:paraId="01C8D408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2020-08-19 15:47</w:t>
            </w:r>
          </w:p>
        </w:tc>
        <w:tc>
          <w:tcPr>
            <w:tcW w:w="1031" w:type="dxa"/>
          </w:tcPr>
          <w:p w14:paraId="10E96D9F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52.3</w:t>
            </w:r>
          </w:p>
        </w:tc>
        <w:tc>
          <w:tcPr>
            <w:tcW w:w="1288" w:type="dxa"/>
          </w:tcPr>
          <w:p w14:paraId="4E8CC254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30.3%</w:t>
            </w:r>
          </w:p>
        </w:tc>
      </w:tr>
      <w:tr w14:paraId="01BC96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0" w:type="dxa"/>
          </w:tcPr>
          <w:p w14:paraId="7D71A77B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车-twB1gBAQ</w:t>
            </w:r>
          </w:p>
        </w:tc>
        <w:tc>
          <w:tcPr>
            <w:tcW w:w="1117" w:type="dxa"/>
          </w:tcPr>
          <w:p w14:paraId="73CD05DC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68,496</w:t>
            </w:r>
          </w:p>
        </w:tc>
        <w:tc>
          <w:tcPr>
            <w:tcW w:w="1804" w:type="dxa"/>
          </w:tcPr>
          <w:p w14:paraId="459FB94A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2020-08-17 00:00</w:t>
            </w:r>
          </w:p>
        </w:tc>
        <w:tc>
          <w:tcPr>
            <w:tcW w:w="1804" w:type="dxa"/>
          </w:tcPr>
          <w:p w14:paraId="67669911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2020-08-23 21:39</w:t>
            </w:r>
          </w:p>
        </w:tc>
        <w:tc>
          <w:tcPr>
            <w:tcW w:w="1031" w:type="dxa"/>
          </w:tcPr>
          <w:p w14:paraId="696D7C49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165.7</w:t>
            </w:r>
          </w:p>
        </w:tc>
        <w:tc>
          <w:tcPr>
            <w:tcW w:w="1288" w:type="dxa"/>
          </w:tcPr>
          <w:p w14:paraId="0CC5C786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47.6%</w:t>
            </w:r>
          </w:p>
        </w:tc>
      </w:tr>
    </w:tbl>
    <w:p w14:paraId="28094126">
      <w:pPr>
        <w:spacing w:after="40"/>
      </w:pPr>
    </w:p>
    <w:p w14:paraId="1C83BBF4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清洗后长表 83,359 条读数、定位 79,838 条。有必要单独说明一个结论：</w:t>
      </w:r>
      <w:r>
        <w:rPr>
          <w:rFonts w:ascii="宋体" w:hAnsi="宋体" w:eastAsia="宋体"/>
          <w:b/>
          <w:sz w:val="24"/>
        </w:rPr>
        <w:t>车-NAB0gBAQ 的定位数据完全失效</w:t>
      </w:r>
      <w:r>
        <w:rPr>
          <w:rFonts w:ascii="宋体" w:hAnsi="宋体" w:eastAsia="宋体"/>
          <w:b w:val="0"/>
          <w:sz w:val="24"/>
        </w:rPr>
        <w:t>。该车 1,989 条定位中 81.4% 的经纬度为 0，其余点的经度漂移到 80.2°（偏离主体区域数十公里），因此清洗后有效定位点为 0；作为对照，另两台车的零值比例分别为 1.9% 和 9.5%。这不是清洗规则过严，而是该设备定位模块本身异常。据此确定分析子集：轨迹与里程类分析只使用车-twB1gBAQ 与车-GAB0gBAQ（图 2），车-NAB0gBAQ 仅参与时间与信号维度分析，并在第 7 章作为设备维护问题提出。</w:t>
      </w:r>
    </w:p>
    <w:p w14:paraId="4BF4EFFB">
      <w:pPr>
        <w:keepNext/>
        <w:spacing w:before="160" w:after="0"/>
        <w:jc w:val="center"/>
      </w:pPr>
      <w:r>
        <w:drawing>
          <wp:inline distT="0" distB="0" distL="114300" distR="114300">
            <wp:extent cx="4535805" cy="2632075"/>
            <wp:effectExtent l="0" t="0" r="1079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263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50176">
      <w:pPr>
        <w:keepLines/>
        <w:spacing w:before="60" w:after="200" w:line="276" w:lineRule="auto"/>
        <w:jc w:val="center"/>
      </w:pPr>
      <w:r>
        <w:rPr>
          <w:rFonts w:ascii="宋体" w:hAnsi="宋体" w:eastAsia="宋体"/>
          <w:b w:val="0"/>
          <w:sz w:val="21"/>
        </w:rPr>
        <w:t>图2  有效 GPS 轨迹（颜色由暗到亮表示时间先后；车-NAB0gBAQ 因定位全部无效而剔除）</w:t>
      </w:r>
    </w:p>
    <w:p w14:paraId="61BE25E3">
      <w:pPr>
        <w:pStyle w:val="2"/>
        <w:spacing w:before="280" w:after="160" w:line="336" w:lineRule="auto"/>
      </w:pPr>
      <w:bookmarkStart w:id="15" w:name="_Toc9175"/>
      <w:r>
        <w:rPr>
          <w:rFonts w:ascii="黑体" w:hAnsi="黑体" w:eastAsia="黑体"/>
          <w:b w:val="0"/>
          <w:sz w:val="28"/>
        </w:rPr>
        <w:t>4. 数据分析与可视化（一）：运行状态与设备画像</w:t>
      </w:r>
      <w:bookmarkEnd w:id="15"/>
    </w:p>
    <w:p w14:paraId="4E6DEAEB">
      <w:pPr>
        <w:pStyle w:val="3"/>
        <w:spacing w:before="200" w:after="100" w:line="336" w:lineRule="auto"/>
      </w:pPr>
      <w:bookmarkStart w:id="16" w:name="_Toc18925"/>
      <w:r>
        <w:rPr>
          <w:rFonts w:ascii="黑体" w:hAnsi="黑体" w:eastAsia="黑体"/>
          <w:b/>
          <w:sz w:val="25"/>
        </w:rPr>
        <w:t>4.1  单车单日的运行过程还原</w:t>
      </w:r>
      <w:bookmarkEnd w:id="16"/>
    </w:p>
    <w:p w14:paraId="090BFBEC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图 3 选取数据最完整的车-twB1gBAQ 在 2020-08-17 的样本，把车速、转速与点火状态按时间轴对齐。这一天最直观的现象不是曲线本身，而是</w:t>
      </w:r>
      <w:r>
        <w:rPr>
          <w:rFonts w:ascii="宋体" w:hAnsi="宋体" w:eastAsia="宋体"/>
          <w:b/>
          <w:sz w:val="24"/>
        </w:rPr>
        <w:t>曲线中间存在大片空白</w:t>
      </w:r>
      <w:r>
        <w:rPr>
          <w:rFonts w:ascii="宋体" w:hAnsi="宋体" w:eastAsia="宋体"/>
          <w:b w:val="0"/>
          <w:sz w:val="24"/>
        </w:rPr>
        <w:t>：车速读数只出现在 10—11 时、14—17 时以及 19 时（这七个整点的读数分别为 23、133、177、132、282、208、57 条），其余时间没有任何 OBD 记录。这正是事件驱动上报的真实形态——车辆熄火停放时不上报动力总成信号，只有定位仍按 3 秒周期工作。在有数据的时段内，车速均值在 5.6—25.8 km/h 之间波动、峰值 54 km/h，转速随车速同步起伏于 1200—2000 rpm 之间，属于典型的城市中低速走走停停工况。</w:t>
      </w:r>
    </w:p>
    <w:p w14:paraId="064A205C">
      <w:pPr>
        <w:keepNext/>
        <w:spacing w:before="160" w:after="0"/>
        <w:jc w:val="center"/>
      </w:pPr>
      <w:r>
        <w:drawing>
          <wp:inline distT="0" distB="0" distL="114300" distR="114300">
            <wp:extent cx="5255895" cy="3415665"/>
            <wp:effectExtent l="0" t="0" r="1905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41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0857">
      <w:pPr>
        <w:keepLines/>
        <w:spacing w:before="60" w:after="200" w:line="276" w:lineRule="auto"/>
        <w:jc w:val="center"/>
      </w:pPr>
      <w:r>
        <w:rPr>
          <w:rFonts w:ascii="宋体" w:hAnsi="宋体" w:eastAsia="宋体"/>
          <w:b w:val="0"/>
          <w:sz w:val="21"/>
        </w:rPr>
        <w:t>图3  单车单日运行过程还原（车速、转速、点火状态三联图）</w:t>
      </w:r>
    </w:p>
    <w:p w14:paraId="3E34FC36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图 4 把窗口缩小到 40 分钟，叠加了车速、转速与三轴加速度。三个加速度轴的方向可由数据反推：纵向（X）在加速时为正、减速时为负；横向（Y）在转弯时出现约 −8 m/s² 的持续偏置；垂向（Z）随路面起伏出现尖峰。车速与转速同步涨落、加速度在加减速时正负交替，说明多信号在时间上是自洽的，这为后续“用运行状态解释告警”提供了依据。</w:t>
      </w:r>
    </w:p>
    <w:p w14:paraId="32D47408">
      <w:pPr>
        <w:keepNext/>
        <w:spacing w:before="160" w:after="0"/>
        <w:jc w:val="center"/>
      </w:pPr>
      <w:r>
        <w:drawing>
          <wp:inline distT="0" distB="0" distL="114300" distR="114300">
            <wp:extent cx="5255895" cy="4335145"/>
            <wp:effectExtent l="0" t="0" r="1905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33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9346A">
      <w:pPr>
        <w:keepLines/>
        <w:spacing w:before="60" w:after="200" w:line="276" w:lineRule="auto"/>
        <w:jc w:val="center"/>
      </w:pPr>
      <w:r>
        <w:rPr>
          <w:rFonts w:ascii="宋体" w:hAnsi="宋体" w:eastAsia="宋体"/>
          <w:b w:val="0"/>
          <w:sz w:val="21"/>
        </w:rPr>
        <w:t>图4  多信号联合时序（车-twB1gBAQ，40 分钟窗口）</w:t>
      </w:r>
    </w:p>
    <w:p w14:paraId="3783A919">
      <w:pPr>
        <w:pStyle w:val="3"/>
        <w:spacing w:before="200" w:after="100" w:line="336" w:lineRule="auto"/>
      </w:pPr>
      <w:bookmarkStart w:id="17" w:name="_Toc2709"/>
      <w:r>
        <w:rPr>
          <w:rFonts w:ascii="黑体" w:hAnsi="黑体" w:eastAsia="黑体"/>
          <w:b/>
          <w:sz w:val="25"/>
        </w:rPr>
        <w:t>4.2  三台设备的运行特征对比</w:t>
      </w:r>
      <w:bookmarkEnd w:id="17"/>
    </w:p>
    <w:p w14:paraId="7A69C112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图 5 从四个角度比较三台车。车速分布上，车-GAB0gBAQ 明显右移（均值 35.15 km/h），另两台集中在 10—30 km/h（均值分别为 15.65 与 15.56 km/h）；转速分布则相反，车-twB1gBAQ 中位转速最低（均值 940.25 rpm），说明该车长时间处于低速或怠速状态。</w:t>
      </w:r>
    </w:p>
    <w:p w14:paraId="7A5B42C7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工况构成（图 5d）给出了最直观的画像：车-GAB0gBAQ 高速占 22.5%、中速占 28.7%，属城际/高速通勤用车；车-NAB0gBAQ 怠速占 35.6%、低速占 31.7%，属频繁起停的城市配送用车；车-twB1gBAQ 熄火静止占 52.3%，属“多次短途、长时间停放”的私家车。日行驶里程方面，车-GAB0gBAQ 日均 35.51 km（单日最高 64.56 km），车-twB1gBAQ 日均 28.41 km；车-NAB0gBAQ 因定位失效无法计算里程。</w:t>
      </w:r>
    </w:p>
    <w:p w14:paraId="4014FB68">
      <w:pPr>
        <w:keepNext/>
        <w:spacing w:before="160" w:after="0"/>
        <w:jc w:val="center"/>
      </w:pPr>
      <w:r>
        <w:drawing>
          <wp:inline distT="0" distB="0" distL="114300" distR="114300">
            <wp:extent cx="5255895" cy="3977640"/>
            <wp:effectExtent l="0" t="0" r="1905" b="1016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97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D2FBC">
      <w:pPr>
        <w:keepLines/>
        <w:spacing w:before="60" w:after="200" w:line="276" w:lineRule="auto"/>
        <w:jc w:val="center"/>
      </w:pPr>
      <w:r>
        <w:rPr>
          <w:rFonts w:ascii="宋体" w:hAnsi="宋体" w:eastAsia="宋体"/>
          <w:b w:val="0"/>
          <w:sz w:val="21"/>
        </w:rPr>
        <w:t>图5  三台设备运行特征对比：(a) 车速分布；(b) 转速分布；(c) 日行驶里程；(d) 工况构成</w:t>
      </w:r>
    </w:p>
    <w:p w14:paraId="0D4F217D">
      <w:pPr>
        <w:pStyle w:val="3"/>
        <w:spacing w:before="200" w:after="100" w:line="336" w:lineRule="auto"/>
      </w:pPr>
      <w:bookmarkStart w:id="18" w:name="_Toc13136"/>
      <w:r>
        <w:rPr>
          <w:rFonts w:ascii="黑体" w:hAnsi="黑体" w:eastAsia="黑体"/>
          <w:b/>
          <w:sz w:val="25"/>
        </w:rPr>
        <w:t>4.3  关键信号的相关性</w:t>
      </w:r>
      <w:bookmarkEnd w:id="18"/>
    </w:p>
    <w:p w14:paraId="312D8BAD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图 6 的 Spearman 相关矩阵显示：车速与转速相关系数为 0.741，车速与节气门位置为 0.462，符合驾驶常识；纵向加速度与垂向加速度弱负相关，反映加速抬头、减速点头的车身姿态耦合；外部电池电压与其他信号相关性弱，数值主要集中在 37—39 V（中位数 38 V，极值 8—48 V），可作为“设备供电是否正常”的独立监测项。需要注意的是，部分 OBD 变量（燃油修正、氧传感器）之间的相关性受采样时点影响较大，解读时必须强调“同一时间戳对齐”的前提，否则容易得到虚假相关。</w:t>
      </w:r>
    </w:p>
    <w:p w14:paraId="46BB2285">
      <w:pPr>
        <w:keepNext/>
        <w:spacing w:before="160" w:after="0"/>
        <w:jc w:val="center"/>
      </w:pPr>
      <w:r>
        <w:drawing>
          <wp:inline distT="0" distB="0" distL="114300" distR="114300">
            <wp:extent cx="4463415" cy="3868420"/>
            <wp:effectExtent l="0" t="0" r="6985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8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4DC2">
      <w:pPr>
        <w:keepLines/>
        <w:spacing w:before="60" w:after="200" w:line="276" w:lineRule="auto"/>
        <w:jc w:val="center"/>
      </w:pPr>
      <w:r>
        <w:rPr>
          <w:rFonts w:ascii="宋体" w:hAnsi="宋体" w:eastAsia="宋体"/>
          <w:b w:val="0"/>
          <w:sz w:val="21"/>
        </w:rPr>
        <w:t>图6  关键信号相关性矩阵（Spearman，时间戳对齐后计算）</w:t>
      </w:r>
    </w:p>
    <w:p w14:paraId="199F9A95">
      <w:pPr>
        <w:pStyle w:val="3"/>
        <w:spacing w:before="200" w:after="100" w:line="336" w:lineRule="auto"/>
      </w:pPr>
      <w:bookmarkStart w:id="19" w:name="_Toc11964"/>
      <w:r>
        <w:rPr>
          <w:rFonts w:ascii="黑体" w:hAnsi="黑体" w:eastAsia="黑体"/>
          <w:b/>
          <w:sz w:val="25"/>
        </w:rPr>
        <w:t>4.4  时间规律</w:t>
      </w:r>
      <w:bookmarkEnd w:id="19"/>
    </w:p>
    <w:p w14:paraId="708BC18D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图 7 展示数据的时间规律。记录量在日内呈单峰结构，峰值出现在 16 时（12,636 条），对应下午用车高峰；凌晨 0—7 时记录量最低，与图 3 中“夜间只有定位数据”的观察一致。小时×星期的平均车速热力图存在大量空缺：本数据仅 7.5 天，且三台设备各自只覆盖其中 2—7 天，单个“星期×小时”格子的样本量不足，因此本文只解读小时维度的趋势，不对星期维度下强结论。告警读数占比同样在午后抬升（8 时 15.8%、10—11 时约 30%、14—17 时 31%—40%，16 时最高），说明高峰时段的高频加减速是告警的主要来源。</w:t>
      </w:r>
    </w:p>
    <w:p w14:paraId="2C4A593B">
      <w:pPr>
        <w:keepNext/>
        <w:spacing w:before="160" w:after="0"/>
        <w:jc w:val="center"/>
      </w:pPr>
      <w:r>
        <w:drawing>
          <wp:inline distT="0" distB="0" distL="114300" distR="114300">
            <wp:extent cx="5255895" cy="1935480"/>
            <wp:effectExtent l="0" t="0" r="1905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93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135E">
      <w:pPr>
        <w:keepLines/>
        <w:spacing w:before="60" w:after="200" w:line="276" w:lineRule="auto"/>
        <w:jc w:val="center"/>
      </w:pPr>
      <w:r>
        <w:rPr>
          <w:rFonts w:ascii="宋体" w:hAnsi="宋体" w:eastAsia="宋体"/>
          <w:b w:val="0"/>
          <w:sz w:val="21"/>
        </w:rPr>
        <w:t>图7  运行数据的时间规律：(a) 小时×星期平均车速；(b) 记录量日内分布；(c) 告警占比的星期规律</w:t>
      </w:r>
    </w:p>
    <w:p w14:paraId="19420F0C">
      <w:pPr>
        <w:pStyle w:val="3"/>
        <w:spacing w:before="200" w:after="100" w:line="336" w:lineRule="auto"/>
      </w:pPr>
      <w:bookmarkStart w:id="20" w:name="_Toc31383"/>
      <w:r>
        <w:rPr>
          <w:rFonts w:ascii="黑体" w:hAnsi="黑体" w:eastAsia="黑体"/>
          <w:b/>
          <w:sz w:val="25"/>
        </w:rPr>
        <w:t>4.5  小结</w:t>
      </w:r>
      <w:bookmarkEnd w:id="20"/>
    </w:p>
    <w:p w14:paraId="54E49DA6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从运行状态的角度可以确认两件事：其一，三台设备的使用方式差异显著，任何“全车队平均”的结论都可能掩盖真实结构，因此后续分析必须分设备呈现；其二，车辆信号之间存在稳定的物理耦合关系，车速、转速、加速度可以互相印证，这为下一章用“同刻状态”解释告警提供了数据基础。</w:t>
      </w:r>
    </w:p>
    <w:p w14:paraId="431C4797">
      <w:pPr>
        <w:pStyle w:val="2"/>
        <w:spacing w:before="280" w:after="160" w:line="336" w:lineRule="auto"/>
      </w:pPr>
      <w:bookmarkStart w:id="21" w:name="_Toc16344"/>
      <w:r>
        <w:rPr>
          <w:rFonts w:ascii="黑体" w:hAnsi="黑体" w:eastAsia="黑体"/>
          <w:b w:val="0"/>
          <w:sz w:val="28"/>
        </w:rPr>
        <w:t>5. 数据分析与可视化（二）：告警事件识别与成因分析</w:t>
      </w:r>
      <w:bookmarkEnd w:id="21"/>
    </w:p>
    <w:p w14:paraId="44BAE3A1">
      <w:pPr>
        <w:pStyle w:val="3"/>
        <w:spacing w:before="200" w:after="100" w:line="336" w:lineRule="auto"/>
      </w:pPr>
      <w:bookmarkStart w:id="22" w:name="_Toc3082"/>
      <w:r>
        <w:rPr>
          <w:rFonts w:ascii="黑体" w:hAnsi="黑体" w:eastAsia="黑体"/>
          <w:b/>
          <w:sz w:val="25"/>
        </w:rPr>
        <w:t>5.1  告警的整体分布</w:t>
      </w:r>
      <w:bookmarkEnd w:id="22"/>
    </w:p>
    <w:p w14:paraId="18D304A7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按读数统计，五类告警的条数与占比见表 7。</w:t>
      </w:r>
    </w:p>
    <w:p w14:paraId="151DC073">
      <w:pPr>
        <w:keepNext/>
        <w:keepLines/>
        <w:spacing w:before="160" w:after="60" w:line="276" w:lineRule="auto"/>
        <w:jc w:val="center"/>
      </w:pPr>
      <w:r>
        <w:rPr>
          <w:rFonts w:ascii="宋体" w:hAnsi="宋体" w:eastAsia="宋体"/>
          <w:b w:val="0"/>
          <w:sz w:val="21"/>
        </w:rPr>
        <w:t>表7  告警类别分布（读数级）</w:t>
      </w:r>
    </w:p>
    <w:tbl>
      <w:tblPr>
        <w:tblStyle w:val="6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2"/>
        <w:gridCol w:w="2132"/>
        <w:gridCol w:w="2132"/>
        <w:gridCol w:w="2132"/>
      </w:tblGrid>
      <w:tr w14:paraId="676366C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60" w:type="dxa"/>
            <w:shd w:val="clear" w:color="auto" w:fill="EDF1F5"/>
          </w:tcPr>
          <w:p w14:paraId="2FC11B7E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类别</w:t>
            </w:r>
          </w:p>
        </w:tc>
        <w:tc>
          <w:tcPr>
            <w:tcW w:w="3885" w:type="dxa"/>
            <w:shd w:val="clear" w:color="auto" w:fill="EDF1F5"/>
          </w:tcPr>
          <w:p w14:paraId="65D3ADED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语义（由数据反推）</w:t>
            </w:r>
          </w:p>
        </w:tc>
        <w:tc>
          <w:tcPr>
            <w:tcW w:w="1680" w:type="dxa"/>
            <w:shd w:val="clear" w:color="auto" w:fill="EDF1F5"/>
          </w:tcPr>
          <w:p w14:paraId="7D8A5C07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读数条数</w:t>
            </w:r>
          </w:p>
        </w:tc>
        <w:tc>
          <w:tcPr>
            <w:tcW w:w="1680" w:type="dxa"/>
            <w:shd w:val="clear" w:color="auto" w:fill="EDF1F5"/>
          </w:tcPr>
          <w:p w14:paraId="0DAD1D7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占全部读数</w:t>
            </w:r>
          </w:p>
        </w:tc>
      </w:tr>
      <w:tr w14:paraId="60CCDD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60" w:type="dxa"/>
          </w:tcPr>
          <w:p w14:paraId="49B9E870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类别0</w:t>
            </w:r>
          </w:p>
        </w:tc>
        <w:tc>
          <w:tcPr>
            <w:tcW w:w="3885" w:type="dxa"/>
          </w:tcPr>
          <w:p w14:paraId="5216297F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正常</w:t>
            </w:r>
          </w:p>
        </w:tc>
        <w:tc>
          <w:tcPr>
            <w:tcW w:w="1680" w:type="dxa"/>
          </w:tcPr>
          <w:p w14:paraId="43AFF598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43,082</w:t>
            </w:r>
          </w:p>
        </w:tc>
        <w:tc>
          <w:tcPr>
            <w:tcW w:w="1680" w:type="dxa"/>
          </w:tcPr>
          <w:p w14:paraId="268425C3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51.68%</w:t>
            </w:r>
          </w:p>
        </w:tc>
      </w:tr>
      <w:tr w14:paraId="6AB9CA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60" w:type="dxa"/>
          </w:tcPr>
          <w:p w14:paraId="7A725D67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类别1</w:t>
            </w:r>
          </w:p>
        </w:tc>
        <w:tc>
          <w:tcPr>
            <w:tcW w:w="3885" w:type="dxa"/>
          </w:tcPr>
          <w:p w14:paraId="56F5A50D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类别1 低速强冲击</w:t>
            </w:r>
          </w:p>
        </w:tc>
        <w:tc>
          <w:tcPr>
            <w:tcW w:w="1680" w:type="dxa"/>
          </w:tcPr>
          <w:p w14:paraId="37755D93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13,447</w:t>
            </w:r>
          </w:p>
        </w:tc>
        <w:tc>
          <w:tcPr>
            <w:tcW w:w="1680" w:type="dxa"/>
          </w:tcPr>
          <w:p w14:paraId="7E99F549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16.13%</w:t>
            </w:r>
          </w:p>
        </w:tc>
      </w:tr>
      <w:tr w14:paraId="2DC24F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60" w:type="dxa"/>
          </w:tcPr>
          <w:p w14:paraId="561494B8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类别2</w:t>
            </w:r>
          </w:p>
        </w:tc>
        <w:tc>
          <w:tcPr>
            <w:tcW w:w="3885" w:type="dxa"/>
          </w:tcPr>
          <w:p w14:paraId="60DF8D15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类别2 中低速工况</w:t>
            </w:r>
          </w:p>
        </w:tc>
        <w:tc>
          <w:tcPr>
            <w:tcW w:w="1680" w:type="dxa"/>
          </w:tcPr>
          <w:p w14:paraId="161E5614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8,303</w:t>
            </w:r>
          </w:p>
        </w:tc>
        <w:tc>
          <w:tcPr>
            <w:tcW w:w="1680" w:type="dxa"/>
          </w:tcPr>
          <w:p w14:paraId="68C8EF14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9.96%</w:t>
            </w:r>
          </w:p>
        </w:tc>
      </w:tr>
      <w:tr w14:paraId="4FD1CCA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60" w:type="dxa"/>
          </w:tcPr>
          <w:p w14:paraId="0E77DCE2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类别3</w:t>
            </w:r>
          </w:p>
        </w:tc>
        <w:tc>
          <w:tcPr>
            <w:tcW w:w="3885" w:type="dxa"/>
          </w:tcPr>
          <w:p w14:paraId="7885C38A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类别3 中高速加速</w:t>
            </w:r>
          </w:p>
        </w:tc>
        <w:tc>
          <w:tcPr>
            <w:tcW w:w="1680" w:type="dxa"/>
          </w:tcPr>
          <w:p w14:paraId="6587988E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5,480</w:t>
            </w:r>
          </w:p>
        </w:tc>
        <w:tc>
          <w:tcPr>
            <w:tcW w:w="1680" w:type="dxa"/>
          </w:tcPr>
          <w:p w14:paraId="09E3EEE9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6.57%</w:t>
            </w:r>
          </w:p>
        </w:tc>
      </w:tr>
      <w:tr w14:paraId="552206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60" w:type="dxa"/>
          </w:tcPr>
          <w:p w14:paraId="3106C458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类别4</w:t>
            </w:r>
          </w:p>
        </w:tc>
        <w:tc>
          <w:tcPr>
            <w:tcW w:w="3885" w:type="dxa"/>
          </w:tcPr>
          <w:p w14:paraId="774FBCF3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类别4 高速高负荷</w:t>
            </w:r>
          </w:p>
        </w:tc>
        <w:tc>
          <w:tcPr>
            <w:tcW w:w="1680" w:type="dxa"/>
          </w:tcPr>
          <w:p w14:paraId="35B141EE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7,324</w:t>
            </w:r>
          </w:p>
        </w:tc>
        <w:tc>
          <w:tcPr>
            <w:tcW w:w="1680" w:type="dxa"/>
          </w:tcPr>
          <w:p w14:paraId="7708EC6D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8.79%</w:t>
            </w:r>
          </w:p>
        </w:tc>
      </w:tr>
      <w:tr w14:paraId="7ABF5BC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60" w:type="dxa"/>
          </w:tcPr>
          <w:p w14:paraId="6036BE9D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类别5</w:t>
            </w:r>
          </w:p>
        </w:tc>
        <w:tc>
          <w:tcPr>
            <w:tcW w:w="3885" w:type="dxa"/>
          </w:tcPr>
          <w:p w14:paraId="2E5ABA9A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类别5 熄火静止</w:t>
            </w:r>
          </w:p>
        </w:tc>
        <w:tc>
          <w:tcPr>
            <w:tcW w:w="1680" w:type="dxa"/>
          </w:tcPr>
          <w:p w14:paraId="309B65F1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5,723</w:t>
            </w:r>
          </w:p>
        </w:tc>
        <w:tc>
          <w:tcPr>
            <w:tcW w:w="1680" w:type="dxa"/>
          </w:tcPr>
          <w:p w14:paraId="1BE14277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6.87%</w:t>
            </w:r>
          </w:p>
        </w:tc>
      </w:tr>
    </w:tbl>
    <w:p w14:paraId="5DA6AB2A">
      <w:pPr>
        <w:spacing w:after="40"/>
      </w:pPr>
    </w:p>
    <w:p w14:paraId="101A1331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全部 83,359 条读数中，48.3% 带有告警标签，这一比例远高于“故障告警”的通常预期。结合 5.2 节的取值分布可以判断，该 alarmClass 更接近“驾驶行为/工况分级”而非“车辆故障码”，因此本文将其解读为分级告警，并在后文明确区分“规则触发的读数”与“需要人工处置的故障”。从设备维度看，车-GAB0gBAQ 告警读数占比最高（58.1%），车-NAB0gBAQ 最低（30.3%），与“高速用车更易触发高等级告警”的判断一致。各类告警的构成与日内分布如图 8 所示。</w:t>
      </w:r>
    </w:p>
    <w:p w14:paraId="3165B9EC">
      <w:pPr>
        <w:keepNext/>
        <w:spacing w:before="160" w:after="0"/>
        <w:jc w:val="center"/>
      </w:pPr>
      <w:r>
        <w:drawing>
          <wp:inline distT="0" distB="0" distL="114300" distR="114300">
            <wp:extent cx="5255895" cy="2094230"/>
            <wp:effectExtent l="0" t="0" r="1905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09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CFA4">
      <w:pPr>
        <w:keepLines/>
        <w:spacing w:before="60" w:after="200" w:line="276" w:lineRule="auto"/>
        <w:jc w:val="center"/>
      </w:pPr>
      <w:r>
        <w:rPr>
          <w:rFonts w:ascii="宋体" w:hAnsi="宋体" w:eastAsia="宋体"/>
          <w:b w:val="0"/>
          <w:sz w:val="21"/>
        </w:rPr>
        <w:t>图8  告警类别与时间分布：(a) 类别构成；(b) 各设备构成；(c) 日内分布</w:t>
      </w:r>
    </w:p>
    <w:p w14:paraId="29927FA8">
      <w:pPr>
        <w:pStyle w:val="3"/>
        <w:spacing w:before="200" w:after="100" w:line="336" w:lineRule="auto"/>
      </w:pPr>
      <w:bookmarkStart w:id="23" w:name="_Toc20543"/>
      <w:r>
        <w:rPr>
          <w:rFonts w:ascii="黑体" w:hAnsi="黑体" w:eastAsia="黑体"/>
          <w:b/>
          <w:sz w:val="25"/>
        </w:rPr>
        <w:t>5.2  各类别的信号特征与语义解释</w:t>
      </w:r>
      <w:bookmarkEnd w:id="23"/>
    </w:p>
    <w:p w14:paraId="787820C2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把告警标签还原到“触发它的那条读数”上，统计每类告警下该变量的取值分布（图 9），即可反推规则的物理含义；表 8 汇总了关键变量的分位数。</w:t>
      </w:r>
    </w:p>
    <w:p w14:paraId="0E2E75EF">
      <w:pPr>
        <w:keepNext/>
        <w:keepLines/>
        <w:spacing w:before="160" w:after="60" w:line="276" w:lineRule="auto"/>
        <w:jc w:val="center"/>
      </w:pPr>
      <w:r>
        <w:rPr>
          <w:rFonts w:ascii="宋体" w:hAnsi="宋体" w:eastAsia="宋体"/>
          <w:b w:val="0"/>
          <w:sz w:val="21"/>
        </w:rPr>
        <w:t>表8  告警类别下关键变量的取值区间（读数级）</w:t>
      </w:r>
    </w:p>
    <w:tbl>
      <w:tblPr>
        <w:tblStyle w:val="6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1421"/>
        <w:gridCol w:w="1421"/>
        <w:gridCol w:w="1421"/>
        <w:gridCol w:w="1421"/>
        <w:gridCol w:w="1421"/>
      </w:tblGrid>
      <w:tr w14:paraId="67BC8C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27" w:type="dxa"/>
            <w:shd w:val="clear" w:color="auto" w:fill="EDF1F5"/>
          </w:tcPr>
          <w:p w14:paraId="573CF7F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变量</w:t>
            </w:r>
          </w:p>
        </w:tc>
        <w:tc>
          <w:tcPr>
            <w:tcW w:w="1114" w:type="dxa"/>
            <w:shd w:val="clear" w:color="auto" w:fill="EDF1F5"/>
          </w:tcPr>
          <w:p w14:paraId="4D5C09B9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类别</w:t>
            </w:r>
          </w:p>
        </w:tc>
        <w:tc>
          <w:tcPr>
            <w:tcW w:w="1215" w:type="dxa"/>
            <w:shd w:val="clear" w:color="auto" w:fill="EDF1F5"/>
          </w:tcPr>
          <w:p w14:paraId="09A5152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读数数</w:t>
            </w:r>
          </w:p>
        </w:tc>
        <w:tc>
          <w:tcPr>
            <w:tcW w:w="1316" w:type="dxa"/>
            <w:shd w:val="clear" w:color="auto" w:fill="EDF1F5"/>
          </w:tcPr>
          <w:p w14:paraId="3F6DBD4E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最小值</w:t>
            </w:r>
          </w:p>
        </w:tc>
        <w:tc>
          <w:tcPr>
            <w:tcW w:w="1316" w:type="dxa"/>
            <w:shd w:val="clear" w:color="auto" w:fill="EDF1F5"/>
          </w:tcPr>
          <w:p w14:paraId="6366E2E2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中位数</w:t>
            </w:r>
          </w:p>
        </w:tc>
        <w:tc>
          <w:tcPr>
            <w:tcW w:w="1316" w:type="dxa"/>
            <w:shd w:val="clear" w:color="auto" w:fill="EDF1F5"/>
          </w:tcPr>
          <w:p w14:paraId="094A6E06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最大值</w:t>
            </w:r>
          </w:p>
        </w:tc>
      </w:tr>
      <w:tr w14:paraId="25CE728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7" w:type="dxa"/>
          </w:tcPr>
          <w:p w14:paraId="0B472499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车速(km/h)</w:t>
            </w:r>
          </w:p>
        </w:tc>
        <w:tc>
          <w:tcPr>
            <w:tcW w:w="1114" w:type="dxa"/>
          </w:tcPr>
          <w:p w14:paraId="54C28D78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正常</w:t>
            </w:r>
          </w:p>
        </w:tc>
        <w:tc>
          <w:tcPr>
            <w:tcW w:w="1215" w:type="dxa"/>
          </w:tcPr>
          <w:p w14:paraId="7EB8D0B2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1305</w:t>
            </w:r>
          </w:p>
        </w:tc>
        <w:tc>
          <w:tcPr>
            <w:tcW w:w="1316" w:type="dxa"/>
          </w:tcPr>
          <w:p w14:paraId="337E3CCD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w="1316" w:type="dxa"/>
          </w:tcPr>
          <w:p w14:paraId="5B5EF76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34.0</w:t>
            </w:r>
          </w:p>
        </w:tc>
        <w:tc>
          <w:tcPr>
            <w:tcW w:w="1316" w:type="dxa"/>
          </w:tcPr>
          <w:p w14:paraId="43FA969B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50.0</w:t>
            </w:r>
          </w:p>
        </w:tc>
      </w:tr>
      <w:tr w14:paraId="21C622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7" w:type="dxa"/>
          </w:tcPr>
          <w:p w14:paraId="6BDE23A6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车速(km/h)</w:t>
            </w:r>
          </w:p>
        </w:tc>
        <w:tc>
          <w:tcPr>
            <w:tcW w:w="1114" w:type="dxa"/>
          </w:tcPr>
          <w:p w14:paraId="5983239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类别1</w:t>
            </w:r>
          </w:p>
        </w:tc>
        <w:tc>
          <w:tcPr>
            <w:tcW w:w="1215" w:type="dxa"/>
          </w:tcPr>
          <w:p w14:paraId="40C32AC6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1210</w:t>
            </w:r>
          </w:p>
        </w:tc>
        <w:tc>
          <w:tcPr>
            <w:tcW w:w="1316" w:type="dxa"/>
          </w:tcPr>
          <w:p w14:paraId="684A2BF4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1.0</w:t>
            </w:r>
          </w:p>
        </w:tc>
        <w:tc>
          <w:tcPr>
            <w:tcW w:w="1316" w:type="dxa"/>
          </w:tcPr>
          <w:p w14:paraId="47F9B5A8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6.0</w:t>
            </w:r>
          </w:p>
        </w:tc>
        <w:tc>
          <w:tcPr>
            <w:tcW w:w="1316" w:type="dxa"/>
          </w:tcPr>
          <w:p w14:paraId="36724580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19.0</w:t>
            </w:r>
          </w:p>
        </w:tc>
      </w:tr>
      <w:tr w14:paraId="72FDF1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7" w:type="dxa"/>
          </w:tcPr>
          <w:p w14:paraId="7E687BE7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车速(km/h)</w:t>
            </w:r>
          </w:p>
        </w:tc>
        <w:tc>
          <w:tcPr>
            <w:tcW w:w="1114" w:type="dxa"/>
          </w:tcPr>
          <w:p w14:paraId="076FF3D6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类别2</w:t>
            </w:r>
          </w:p>
        </w:tc>
        <w:tc>
          <w:tcPr>
            <w:tcW w:w="1215" w:type="dxa"/>
          </w:tcPr>
          <w:p w14:paraId="2B1B65B4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701</w:t>
            </w:r>
          </w:p>
        </w:tc>
        <w:tc>
          <w:tcPr>
            <w:tcW w:w="1316" w:type="dxa"/>
          </w:tcPr>
          <w:p w14:paraId="3C7DE5C4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10.0</w:t>
            </w:r>
          </w:p>
        </w:tc>
        <w:tc>
          <w:tcPr>
            <w:tcW w:w="1316" w:type="dxa"/>
          </w:tcPr>
          <w:p w14:paraId="3BFCF0D9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24.0</w:t>
            </w:r>
          </w:p>
        </w:tc>
        <w:tc>
          <w:tcPr>
            <w:tcW w:w="1316" w:type="dxa"/>
          </w:tcPr>
          <w:p w14:paraId="32E45C67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29.0</w:t>
            </w:r>
          </w:p>
        </w:tc>
      </w:tr>
      <w:tr w14:paraId="10229E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7" w:type="dxa"/>
          </w:tcPr>
          <w:p w14:paraId="7C6B23FF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车速(km/h)</w:t>
            </w:r>
          </w:p>
        </w:tc>
        <w:tc>
          <w:tcPr>
            <w:tcW w:w="1114" w:type="dxa"/>
          </w:tcPr>
          <w:p w14:paraId="7B40DDC6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类别3</w:t>
            </w:r>
          </w:p>
        </w:tc>
        <w:tc>
          <w:tcPr>
            <w:tcW w:w="1215" w:type="dxa"/>
          </w:tcPr>
          <w:p w14:paraId="1E37F90B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159</w:t>
            </w:r>
          </w:p>
        </w:tc>
        <w:tc>
          <w:tcPr>
            <w:tcW w:w="1316" w:type="dxa"/>
          </w:tcPr>
          <w:p w14:paraId="54647B21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31.0</w:t>
            </w:r>
          </w:p>
        </w:tc>
        <w:tc>
          <w:tcPr>
            <w:tcW w:w="1316" w:type="dxa"/>
          </w:tcPr>
          <w:p w14:paraId="613C1ADE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52.0</w:t>
            </w:r>
          </w:p>
        </w:tc>
        <w:tc>
          <w:tcPr>
            <w:tcW w:w="1316" w:type="dxa"/>
          </w:tcPr>
          <w:p w14:paraId="2558F0E1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70.0</w:t>
            </w:r>
          </w:p>
        </w:tc>
      </w:tr>
      <w:tr w14:paraId="7F77F1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7" w:type="dxa"/>
          </w:tcPr>
          <w:p w14:paraId="177090D1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车速(km/h)</w:t>
            </w:r>
          </w:p>
        </w:tc>
        <w:tc>
          <w:tcPr>
            <w:tcW w:w="1114" w:type="dxa"/>
          </w:tcPr>
          <w:p w14:paraId="2B099ED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类别4</w:t>
            </w:r>
          </w:p>
        </w:tc>
        <w:tc>
          <w:tcPr>
            <w:tcW w:w="1215" w:type="dxa"/>
          </w:tcPr>
          <w:p w14:paraId="2E50BA97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428</w:t>
            </w:r>
          </w:p>
        </w:tc>
        <w:tc>
          <w:tcPr>
            <w:tcW w:w="1316" w:type="dxa"/>
          </w:tcPr>
          <w:p w14:paraId="1FE8AC03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41.0</w:t>
            </w:r>
          </w:p>
        </w:tc>
        <w:tc>
          <w:tcPr>
            <w:tcW w:w="1316" w:type="dxa"/>
          </w:tcPr>
          <w:p w14:paraId="65DC382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60.0</w:t>
            </w:r>
          </w:p>
        </w:tc>
        <w:tc>
          <w:tcPr>
            <w:tcW w:w="1316" w:type="dxa"/>
          </w:tcPr>
          <w:p w14:paraId="7CDC7581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175.0</w:t>
            </w:r>
          </w:p>
        </w:tc>
      </w:tr>
      <w:tr w14:paraId="6BBA9E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7" w:type="dxa"/>
          </w:tcPr>
          <w:p w14:paraId="4FB5B77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转速(rpm)</w:t>
            </w:r>
          </w:p>
        </w:tc>
        <w:tc>
          <w:tcPr>
            <w:tcW w:w="1114" w:type="dxa"/>
          </w:tcPr>
          <w:p w14:paraId="79C2EC2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正常</w:t>
            </w:r>
          </w:p>
        </w:tc>
        <w:tc>
          <w:tcPr>
            <w:tcW w:w="1215" w:type="dxa"/>
          </w:tcPr>
          <w:p w14:paraId="19A8FAE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371</w:t>
            </w:r>
          </w:p>
        </w:tc>
        <w:tc>
          <w:tcPr>
            <w:tcW w:w="1316" w:type="dxa"/>
          </w:tcPr>
          <w:p w14:paraId="10582602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w="1316" w:type="dxa"/>
          </w:tcPr>
          <w:p w14:paraId="35EC0559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1440.0</w:t>
            </w:r>
          </w:p>
        </w:tc>
        <w:tc>
          <w:tcPr>
            <w:tcW w:w="1316" w:type="dxa"/>
          </w:tcPr>
          <w:p w14:paraId="2D364F73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3000.0</w:t>
            </w:r>
          </w:p>
        </w:tc>
      </w:tr>
      <w:tr w14:paraId="296DF2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7" w:type="dxa"/>
          </w:tcPr>
          <w:p w14:paraId="1860E7DD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转速(rpm)</w:t>
            </w:r>
          </w:p>
        </w:tc>
        <w:tc>
          <w:tcPr>
            <w:tcW w:w="1114" w:type="dxa"/>
          </w:tcPr>
          <w:p w14:paraId="78AFD950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类别1</w:t>
            </w:r>
          </w:p>
        </w:tc>
        <w:tc>
          <w:tcPr>
            <w:tcW w:w="1215" w:type="dxa"/>
          </w:tcPr>
          <w:p w14:paraId="68CB72E2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3074</w:t>
            </w:r>
          </w:p>
        </w:tc>
        <w:tc>
          <w:tcPr>
            <w:tcW w:w="1316" w:type="dxa"/>
          </w:tcPr>
          <w:p w14:paraId="49D81AD8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10.0</w:t>
            </w:r>
          </w:p>
        </w:tc>
        <w:tc>
          <w:tcPr>
            <w:tcW w:w="1316" w:type="dxa"/>
          </w:tcPr>
          <w:p w14:paraId="1A96BF9E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960.0</w:t>
            </w:r>
          </w:p>
        </w:tc>
        <w:tc>
          <w:tcPr>
            <w:tcW w:w="1316" w:type="dxa"/>
          </w:tcPr>
          <w:p w14:paraId="239135EF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1490.0</w:t>
            </w:r>
          </w:p>
        </w:tc>
      </w:tr>
      <w:tr w14:paraId="0E7F93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7" w:type="dxa"/>
          </w:tcPr>
          <w:p w14:paraId="30B0ACF7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转速(rpm)</w:t>
            </w:r>
          </w:p>
        </w:tc>
        <w:tc>
          <w:tcPr>
            <w:tcW w:w="1114" w:type="dxa"/>
          </w:tcPr>
          <w:p w14:paraId="757BBD83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类别2</w:t>
            </w:r>
          </w:p>
        </w:tc>
        <w:tc>
          <w:tcPr>
            <w:tcW w:w="1215" w:type="dxa"/>
          </w:tcPr>
          <w:p w14:paraId="0851603E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596</w:t>
            </w:r>
          </w:p>
        </w:tc>
        <w:tc>
          <w:tcPr>
            <w:tcW w:w="1316" w:type="dxa"/>
          </w:tcPr>
          <w:p w14:paraId="64657CC7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1000.0</w:t>
            </w:r>
          </w:p>
        </w:tc>
        <w:tc>
          <w:tcPr>
            <w:tcW w:w="1316" w:type="dxa"/>
          </w:tcPr>
          <w:p w14:paraId="1464466C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1620.0</w:t>
            </w:r>
          </w:p>
        </w:tc>
        <w:tc>
          <w:tcPr>
            <w:tcW w:w="1316" w:type="dxa"/>
          </w:tcPr>
          <w:p w14:paraId="641D10EF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1990.0</w:t>
            </w:r>
          </w:p>
        </w:tc>
      </w:tr>
      <w:tr w14:paraId="5AC8C1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7" w:type="dxa"/>
          </w:tcPr>
          <w:p w14:paraId="7900C68D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转速(rpm)</w:t>
            </w:r>
          </w:p>
        </w:tc>
        <w:tc>
          <w:tcPr>
            <w:tcW w:w="1114" w:type="dxa"/>
          </w:tcPr>
          <w:p w14:paraId="1AF18D42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类别3</w:t>
            </w:r>
          </w:p>
        </w:tc>
        <w:tc>
          <w:tcPr>
            <w:tcW w:w="1215" w:type="dxa"/>
          </w:tcPr>
          <w:p w14:paraId="3358FE1B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299</w:t>
            </w:r>
          </w:p>
        </w:tc>
        <w:tc>
          <w:tcPr>
            <w:tcW w:w="1316" w:type="dxa"/>
          </w:tcPr>
          <w:p w14:paraId="0FAFD00B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1510.0</w:t>
            </w:r>
          </w:p>
        </w:tc>
        <w:tc>
          <w:tcPr>
            <w:tcW w:w="1316" w:type="dxa"/>
          </w:tcPr>
          <w:p w14:paraId="6A422E1B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1780.0</w:t>
            </w:r>
          </w:p>
        </w:tc>
        <w:tc>
          <w:tcPr>
            <w:tcW w:w="1316" w:type="dxa"/>
          </w:tcPr>
          <w:p w14:paraId="4FD4593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3500.0</w:t>
            </w:r>
          </w:p>
        </w:tc>
      </w:tr>
      <w:tr w14:paraId="6ED29D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7" w:type="dxa"/>
          </w:tcPr>
          <w:p w14:paraId="3C77E8D6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转速(rpm)</w:t>
            </w:r>
          </w:p>
        </w:tc>
        <w:tc>
          <w:tcPr>
            <w:tcW w:w="1114" w:type="dxa"/>
          </w:tcPr>
          <w:p w14:paraId="49DBEF2D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类别4</w:t>
            </w:r>
          </w:p>
        </w:tc>
        <w:tc>
          <w:tcPr>
            <w:tcW w:w="1215" w:type="dxa"/>
          </w:tcPr>
          <w:p w14:paraId="7A0D8618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161</w:t>
            </w:r>
          </w:p>
        </w:tc>
        <w:tc>
          <w:tcPr>
            <w:tcW w:w="1316" w:type="dxa"/>
          </w:tcPr>
          <w:p w14:paraId="14A613F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2010.0</w:t>
            </w:r>
          </w:p>
        </w:tc>
        <w:tc>
          <w:tcPr>
            <w:tcW w:w="1316" w:type="dxa"/>
          </w:tcPr>
          <w:p w14:paraId="427CC6C3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2300.0</w:t>
            </w:r>
          </w:p>
        </w:tc>
        <w:tc>
          <w:tcPr>
            <w:tcW w:w="1316" w:type="dxa"/>
          </w:tcPr>
          <w:p w14:paraId="3BF56BB2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3120.0</w:t>
            </w:r>
          </w:p>
        </w:tc>
      </w:tr>
      <w:tr w14:paraId="69C324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7" w:type="dxa"/>
          </w:tcPr>
          <w:p w14:paraId="603787BF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纵向加速度(m/s²)</w:t>
            </w:r>
          </w:p>
        </w:tc>
        <w:tc>
          <w:tcPr>
            <w:tcW w:w="1114" w:type="dxa"/>
          </w:tcPr>
          <w:p w14:paraId="4022FEAA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正常</w:t>
            </w:r>
          </w:p>
        </w:tc>
        <w:tc>
          <w:tcPr>
            <w:tcW w:w="1215" w:type="dxa"/>
          </w:tcPr>
          <w:p w14:paraId="27A562F8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2056</w:t>
            </w:r>
          </w:p>
        </w:tc>
        <w:tc>
          <w:tcPr>
            <w:tcW w:w="1316" w:type="dxa"/>
          </w:tcPr>
          <w:p w14:paraId="304AC856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-3.0</w:t>
            </w:r>
          </w:p>
        </w:tc>
        <w:tc>
          <w:tcPr>
            <w:tcW w:w="1316" w:type="dxa"/>
          </w:tcPr>
          <w:p w14:paraId="6B0CD34A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0.2</w:t>
            </w:r>
          </w:p>
        </w:tc>
        <w:tc>
          <w:tcPr>
            <w:tcW w:w="1316" w:type="dxa"/>
          </w:tcPr>
          <w:p w14:paraId="077475AB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4.0</w:t>
            </w:r>
          </w:p>
        </w:tc>
      </w:tr>
      <w:tr w14:paraId="75EBF5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7" w:type="dxa"/>
          </w:tcPr>
          <w:p w14:paraId="774BFF16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纵向加速度(m/s²)</w:t>
            </w:r>
          </w:p>
        </w:tc>
        <w:tc>
          <w:tcPr>
            <w:tcW w:w="1114" w:type="dxa"/>
          </w:tcPr>
          <w:p w14:paraId="1C02F44A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类别1</w:t>
            </w:r>
          </w:p>
        </w:tc>
        <w:tc>
          <w:tcPr>
            <w:tcW w:w="1215" w:type="dxa"/>
          </w:tcPr>
          <w:p w14:paraId="71DF8652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103</w:t>
            </w:r>
          </w:p>
        </w:tc>
        <w:tc>
          <w:tcPr>
            <w:tcW w:w="1316" w:type="dxa"/>
          </w:tcPr>
          <w:p w14:paraId="1C3BE1CF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-7.2</w:t>
            </w:r>
          </w:p>
        </w:tc>
        <w:tc>
          <w:tcPr>
            <w:tcW w:w="1316" w:type="dxa"/>
          </w:tcPr>
          <w:p w14:paraId="7CBC3722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-2.6</w:t>
            </w:r>
          </w:p>
        </w:tc>
        <w:tc>
          <w:tcPr>
            <w:tcW w:w="1316" w:type="dxa"/>
          </w:tcPr>
          <w:p w14:paraId="20F7C0E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-1.5</w:t>
            </w:r>
          </w:p>
        </w:tc>
      </w:tr>
      <w:tr w14:paraId="63040D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7" w:type="dxa"/>
          </w:tcPr>
          <w:p w14:paraId="31913C64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纵向加速度(m/s²)</w:t>
            </w:r>
          </w:p>
        </w:tc>
        <w:tc>
          <w:tcPr>
            <w:tcW w:w="1114" w:type="dxa"/>
          </w:tcPr>
          <w:p w14:paraId="5117537D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类别2</w:t>
            </w:r>
          </w:p>
        </w:tc>
        <w:tc>
          <w:tcPr>
            <w:tcW w:w="1215" w:type="dxa"/>
          </w:tcPr>
          <w:p w14:paraId="024CD6EF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322</w:t>
            </w:r>
          </w:p>
        </w:tc>
        <w:tc>
          <w:tcPr>
            <w:tcW w:w="1316" w:type="dxa"/>
          </w:tcPr>
          <w:p w14:paraId="39ACDE89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-2.0</w:t>
            </w:r>
          </w:p>
        </w:tc>
        <w:tc>
          <w:tcPr>
            <w:tcW w:w="1316" w:type="dxa"/>
          </w:tcPr>
          <w:p w14:paraId="34A092B1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-1.1</w:t>
            </w:r>
          </w:p>
        </w:tc>
        <w:tc>
          <w:tcPr>
            <w:tcW w:w="1316" w:type="dxa"/>
          </w:tcPr>
          <w:p w14:paraId="2FE96E69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-0.5</w:t>
            </w:r>
          </w:p>
        </w:tc>
      </w:tr>
      <w:tr w14:paraId="4351DD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7" w:type="dxa"/>
          </w:tcPr>
          <w:p w14:paraId="12C7C051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纵向加速度(m/s²)</w:t>
            </w:r>
          </w:p>
        </w:tc>
        <w:tc>
          <w:tcPr>
            <w:tcW w:w="1114" w:type="dxa"/>
          </w:tcPr>
          <w:p w14:paraId="1B535746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类别3</w:t>
            </w:r>
          </w:p>
        </w:tc>
        <w:tc>
          <w:tcPr>
            <w:tcW w:w="1215" w:type="dxa"/>
          </w:tcPr>
          <w:p w14:paraId="3F3CFC47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2237</w:t>
            </w:r>
          </w:p>
        </w:tc>
        <w:tc>
          <w:tcPr>
            <w:tcW w:w="1316" w:type="dxa"/>
          </w:tcPr>
          <w:p w14:paraId="66A1866A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0.5</w:t>
            </w:r>
          </w:p>
        </w:tc>
        <w:tc>
          <w:tcPr>
            <w:tcW w:w="1316" w:type="dxa"/>
          </w:tcPr>
          <w:p w14:paraId="6955380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0.9</w:t>
            </w:r>
          </w:p>
        </w:tc>
        <w:tc>
          <w:tcPr>
            <w:tcW w:w="1316" w:type="dxa"/>
          </w:tcPr>
          <w:p w14:paraId="6713C271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5.5</w:t>
            </w:r>
          </w:p>
        </w:tc>
      </w:tr>
      <w:tr w14:paraId="40B4AF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7" w:type="dxa"/>
          </w:tcPr>
          <w:p w14:paraId="30E6B3C4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纵向加速度(m/s²)</w:t>
            </w:r>
          </w:p>
        </w:tc>
        <w:tc>
          <w:tcPr>
            <w:tcW w:w="1114" w:type="dxa"/>
          </w:tcPr>
          <w:p w14:paraId="639FF8C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类别4</w:t>
            </w:r>
          </w:p>
        </w:tc>
        <w:tc>
          <w:tcPr>
            <w:tcW w:w="1215" w:type="dxa"/>
          </w:tcPr>
          <w:p w14:paraId="21B0F041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328</w:t>
            </w:r>
          </w:p>
        </w:tc>
        <w:tc>
          <w:tcPr>
            <w:tcW w:w="1316" w:type="dxa"/>
          </w:tcPr>
          <w:p w14:paraId="445A42DA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1.6</w:t>
            </w:r>
          </w:p>
        </w:tc>
        <w:tc>
          <w:tcPr>
            <w:tcW w:w="1316" w:type="dxa"/>
          </w:tcPr>
          <w:p w14:paraId="58F4AD6A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2.5</w:t>
            </w:r>
          </w:p>
        </w:tc>
        <w:tc>
          <w:tcPr>
            <w:tcW w:w="1316" w:type="dxa"/>
          </w:tcPr>
          <w:p w14:paraId="2C4FE5B6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7.0</w:t>
            </w:r>
          </w:p>
        </w:tc>
      </w:tr>
      <w:tr w14:paraId="02D84A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7" w:type="dxa"/>
          </w:tcPr>
          <w:p w14:paraId="20C1E4F7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横向加速度(m/s²)</w:t>
            </w:r>
          </w:p>
        </w:tc>
        <w:tc>
          <w:tcPr>
            <w:tcW w:w="1114" w:type="dxa"/>
          </w:tcPr>
          <w:p w14:paraId="6013975D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正常</w:t>
            </w:r>
          </w:p>
        </w:tc>
        <w:tc>
          <w:tcPr>
            <w:tcW w:w="1215" w:type="dxa"/>
          </w:tcPr>
          <w:p w14:paraId="0DDD04C0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111</w:t>
            </w:r>
          </w:p>
        </w:tc>
        <w:tc>
          <w:tcPr>
            <w:tcW w:w="1316" w:type="dxa"/>
          </w:tcPr>
          <w:p w14:paraId="1226C48F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-7.0</w:t>
            </w:r>
          </w:p>
        </w:tc>
        <w:tc>
          <w:tcPr>
            <w:tcW w:w="1316" w:type="dxa"/>
          </w:tcPr>
          <w:p w14:paraId="2A385609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-1.0</w:t>
            </w:r>
          </w:p>
        </w:tc>
        <w:tc>
          <w:tcPr>
            <w:tcW w:w="1316" w:type="dxa"/>
          </w:tcPr>
          <w:p w14:paraId="1939E2DF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2.0</w:t>
            </w:r>
          </w:p>
        </w:tc>
      </w:tr>
      <w:tr w14:paraId="62C931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7" w:type="dxa"/>
          </w:tcPr>
          <w:p w14:paraId="7083BB0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横向加速度(m/s²)</w:t>
            </w:r>
          </w:p>
        </w:tc>
        <w:tc>
          <w:tcPr>
            <w:tcW w:w="1114" w:type="dxa"/>
          </w:tcPr>
          <w:p w14:paraId="05B312E8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类别1</w:t>
            </w:r>
          </w:p>
        </w:tc>
        <w:tc>
          <w:tcPr>
            <w:tcW w:w="1215" w:type="dxa"/>
          </w:tcPr>
          <w:p w14:paraId="71603F06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3505</w:t>
            </w:r>
          </w:p>
        </w:tc>
        <w:tc>
          <w:tcPr>
            <w:tcW w:w="1316" w:type="dxa"/>
          </w:tcPr>
          <w:p w14:paraId="064D53B8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-17.4</w:t>
            </w:r>
          </w:p>
        </w:tc>
        <w:tc>
          <w:tcPr>
            <w:tcW w:w="1316" w:type="dxa"/>
          </w:tcPr>
          <w:p w14:paraId="019E3FA3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-8.6</w:t>
            </w:r>
          </w:p>
        </w:tc>
        <w:tc>
          <w:tcPr>
            <w:tcW w:w="1316" w:type="dxa"/>
          </w:tcPr>
          <w:p w14:paraId="2AC4CF8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-2.0</w:t>
            </w:r>
          </w:p>
        </w:tc>
      </w:tr>
      <w:tr w14:paraId="646420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7" w:type="dxa"/>
          </w:tcPr>
          <w:p w14:paraId="2C882E34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横向加速度(m/s²)</w:t>
            </w:r>
          </w:p>
        </w:tc>
        <w:tc>
          <w:tcPr>
            <w:tcW w:w="1114" w:type="dxa"/>
          </w:tcPr>
          <w:p w14:paraId="7FF214CD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类别2</w:t>
            </w:r>
          </w:p>
        </w:tc>
        <w:tc>
          <w:tcPr>
            <w:tcW w:w="1215" w:type="dxa"/>
          </w:tcPr>
          <w:p w14:paraId="307BE08F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588</w:t>
            </w:r>
          </w:p>
        </w:tc>
        <w:tc>
          <w:tcPr>
            <w:tcW w:w="1316" w:type="dxa"/>
          </w:tcPr>
          <w:p w14:paraId="3290395D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-10.0</w:t>
            </w:r>
          </w:p>
        </w:tc>
        <w:tc>
          <w:tcPr>
            <w:tcW w:w="1316" w:type="dxa"/>
          </w:tcPr>
          <w:p w14:paraId="05948F18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-8.75</w:t>
            </w:r>
          </w:p>
        </w:tc>
        <w:tc>
          <w:tcPr>
            <w:tcW w:w="1316" w:type="dxa"/>
          </w:tcPr>
          <w:p w14:paraId="33E7A3F0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-1.0</w:t>
            </w:r>
          </w:p>
        </w:tc>
      </w:tr>
      <w:tr w14:paraId="0A465E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7" w:type="dxa"/>
          </w:tcPr>
          <w:p w14:paraId="6C69CC2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横向加速度(m/s²)</w:t>
            </w:r>
          </w:p>
        </w:tc>
        <w:tc>
          <w:tcPr>
            <w:tcW w:w="1114" w:type="dxa"/>
          </w:tcPr>
          <w:p w14:paraId="1AACEF34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类别4</w:t>
            </w:r>
          </w:p>
        </w:tc>
        <w:tc>
          <w:tcPr>
            <w:tcW w:w="1215" w:type="dxa"/>
          </w:tcPr>
          <w:p w14:paraId="3BDD799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114</w:t>
            </w:r>
          </w:p>
        </w:tc>
        <w:tc>
          <w:tcPr>
            <w:tcW w:w="1316" w:type="dxa"/>
          </w:tcPr>
          <w:p w14:paraId="1E7C8F08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5.5</w:t>
            </w:r>
          </w:p>
        </w:tc>
        <w:tc>
          <w:tcPr>
            <w:tcW w:w="1316" w:type="dxa"/>
          </w:tcPr>
          <w:p w14:paraId="738899A2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10.0</w:t>
            </w:r>
          </w:p>
        </w:tc>
        <w:tc>
          <w:tcPr>
            <w:tcW w:w="1316" w:type="dxa"/>
          </w:tcPr>
          <w:p w14:paraId="32E82829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16.0</w:t>
            </w:r>
          </w:p>
        </w:tc>
      </w:tr>
      <w:tr w14:paraId="167C61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7" w:type="dxa"/>
          </w:tcPr>
          <w:p w14:paraId="4D2DA25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垂向加速度(m/s²)</w:t>
            </w:r>
          </w:p>
        </w:tc>
        <w:tc>
          <w:tcPr>
            <w:tcW w:w="1114" w:type="dxa"/>
          </w:tcPr>
          <w:p w14:paraId="2074A1BE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正常</w:t>
            </w:r>
          </w:p>
        </w:tc>
        <w:tc>
          <w:tcPr>
            <w:tcW w:w="1215" w:type="dxa"/>
          </w:tcPr>
          <w:p w14:paraId="0FBC6AF9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216</w:t>
            </w:r>
          </w:p>
        </w:tc>
        <w:tc>
          <w:tcPr>
            <w:tcW w:w="1316" w:type="dxa"/>
          </w:tcPr>
          <w:p w14:paraId="7F1447F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-2.0</w:t>
            </w:r>
          </w:p>
        </w:tc>
        <w:tc>
          <w:tcPr>
            <w:tcW w:w="1316" w:type="dxa"/>
          </w:tcPr>
          <w:p w14:paraId="4B3605A4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0.75</w:t>
            </w:r>
          </w:p>
        </w:tc>
        <w:tc>
          <w:tcPr>
            <w:tcW w:w="1316" w:type="dxa"/>
          </w:tcPr>
          <w:p w14:paraId="33FA10A2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3.0</w:t>
            </w:r>
          </w:p>
        </w:tc>
      </w:tr>
      <w:tr w14:paraId="5964450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7" w:type="dxa"/>
          </w:tcPr>
          <w:p w14:paraId="21C7F427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垂向加速度(m/s²)</w:t>
            </w:r>
          </w:p>
        </w:tc>
        <w:tc>
          <w:tcPr>
            <w:tcW w:w="1114" w:type="dxa"/>
          </w:tcPr>
          <w:p w14:paraId="379166D6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类别1</w:t>
            </w:r>
          </w:p>
        </w:tc>
        <w:tc>
          <w:tcPr>
            <w:tcW w:w="1215" w:type="dxa"/>
          </w:tcPr>
          <w:p w14:paraId="1EF96391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  <w:tc>
          <w:tcPr>
            <w:tcW w:w="1316" w:type="dxa"/>
          </w:tcPr>
          <w:p w14:paraId="1AEB7F99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-12.5</w:t>
            </w:r>
          </w:p>
        </w:tc>
        <w:tc>
          <w:tcPr>
            <w:tcW w:w="1316" w:type="dxa"/>
          </w:tcPr>
          <w:p w14:paraId="112D194F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-2.75</w:t>
            </w:r>
          </w:p>
        </w:tc>
        <w:tc>
          <w:tcPr>
            <w:tcW w:w="1316" w:type="dxa"/>
          </w:tcPr>
          <w:p w14:paraId="489CF18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-2.25</w:t>
            </w:r>
          </w:p>
        </w:tc>
      </w:tr>
      <w:tr w14:paraId="0791F1C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7" w:type="dxa"/>
          </w:tcPr>
          <w:p w14:paraId="0D6FAE38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垂向加速度(m/s²)</w:t>
            </w:r>
          </w:p>
        </w:tc>
        <w:tc>
          <w:tcPr>
            <w:tcW w:w="1114" w:type="dxa"/>
          </w:tcPr>
          <w:p w14:paraId="281CBF1F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类别2</w:t>
            </w:r>
          </w:p>
        </w:tc>
        <w:tc>
          <w:tcPr>
            <w:tcW w:w="1215" w:type="dxa"/>
          </w:tcPr>
          <w:p w14:paraId="0425DC14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21</w:t>
            </w:r>
          </w:p>
        </w:tc>
        <w:tc>
          <w:tcPr>
            <w:tcW w:w="1316" w:type="dxa"/>
          </w:tcPr>
          <w:p w14:paraId="12BF641C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-2.0</w:t>
            </w:r>
          </w:p>
        </w:tc>
        <w:tc>
          <w:tcPr>
            <w:tcW w:w="1316" w:type="dxa"/>
          </w:tcPr>
          <w:p w14:paraId="6259F76E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-1.5</w:t>
            </w:r>
          </w:p>
        </w:tc>
        <w:tc>
          <w:tcPr>
            <w:tcW w:w="1316" w:type="dxa"/>
          </w:tcPr>
          <w:p w14:paraId="36D96F90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-1.25</w:t>
            </w:r>
          </w:p>
        </w:tc>
      </w:tr>
      <w:tr w14:paraId="4B579B0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7" w:type="dxa"/>
          </w:tcPr>
          <w:p w14:paraId="6A913A7E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垂向加速度(m/s²)</w:t>
            </w:r>
          </w:p>
        </w:tc>
        <w:tc>
          <w:tcPr>
            <w:tcW w:w="1114" w:type="dxa"/>
          </w:tcPr>
          <w:p w14:paraId="30E2A606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类别3</w:t>
            </w:r>
          </w:p>
        </w:tc>
        <w:tc>
          <w:tcPr>
            <w:tcW w:w="1215" w:type="dxa"/>
          </w:tcPr>
          <w:p w14:paraId="1C9ADC5B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954</w:t>
            </w:r>
          </w:p>
        </w:tc>
        <w:tc>
          <w:tcPr>
            <w:tcW w:w="1316" w:type="dxa"/>
          </w:tcPr>
          <w:p w14:paraId="3BAF0CAF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1.25</w:t>
            </w:r>
          </w:p>
        </w:tc>
        <w:tc>
          <w:tcPr>
            <w:tcW w:w="1316" w:type="dxa"/>
          </w:tcPr>
          <w:p w14:paraId="674B4638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2.5</w:t>
            </w:r>
          </w:p>
        </w:tc>
        <w:tc>
          <w:tcPr>
            <w:tcW w:w="1316" w:type="dxa"/>
          </w:tcPr>
          <w:p w14:paraId="7EF2FE04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5.0</w:t>
            </w:r>
          </w:p>
        </w:tc>
      </w:tr>
      <w:tr w14:paraId="03D09D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7" w:type="dxa"/>
          </w:tcPr>
          <w:p w14:paraId="53CA1441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垂向加速度(m/s²)</w:t>
            </w:r>
          </w:p>
        </w:tc>
        <w:tc>
          <w:tcPr>
            <w:tcW w:w="1114" w:type="dxa"/>
          </w:tcPr>
          <w:p w14:paraId="2F660080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类别4</w:t>
            </w:r>
          </w:p>
        </w:tc>
        <w:tc>
          <w:tcPr>
            <w:tcW w:w="1215" w:type="dxa"/>
          </w:tcPr>
          <w:p w14:paraId="19619D13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3237</w:t>
            </w:r>
          </w:p>
        </w:tc>
        <w:tc>
          <w:tcPr>
            <w:tcW w:w="1316" w:type="dxa"/>
          </w:tcPr>
          <w:p w14:paraId="0486D8EB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3.25</w:t>
            </w:r>
          </w:p>
        </w:tc>
        <w:tc>
          <w:tcPr>
            <w:tcW w:w="1316" w:type="dxa"/>
          </w:tcPr>
          <w:p w14:paraId="5A7D6D4C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4.0</w:t>
            </w:r>
          </w:p>
        </w:tc>
        <w:tc>
          <w:tcPr>
            <w:tcW w:w="1316" w:type="dxa"/>
          </w:tcPr>
          <w:p w14:paraId="0AD601E8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18.75</w:t>
            </w:r>
          </w:p>
        </w:tc>
      </w:tr>
    </w:tbl>
    <w:p w14:paraId="7F53F6C6">
      <w:pPr>
        <w:spacing w:after="40"/>
      </w:pPr>
    </w:p>
    <w:p w14:paraId="579F9DF8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由表 8 与图 9 可归纳出各类别的特征（括号内为同类读数的均值）：</w:t>
      </w:r>
    </w:p>
    <w:p w14:paraId="52C40899">
      <w:pPr>
        <w:spacing w:after="0" w:line="360" w:lineRule="auto"/>
        <w:ind w:left="420" w:hanging="240" w:hangingChars="100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类别1（低速强冲击）</w:t>
      </w:r>
      <w:r>
        <w:rPr>
          <w:rFonts w:ascii="宋体" w:hAnsi="宋体" w:eastAsia="宋体"/>
          <w:b w:val="0"/>
          <w:sz w:val="24"/>
        </w:rPr>
        <w:t>：车速 7.64 km/h、转速 976.8 rpm、纵向加速度 -2.75 m/s²、横向加速度 -8.69 m/s²。低速大减速叠加强侧向加速度，是急刹与急转的组合，多见于城市配送场景；</w:t>
      </w:r>
    </w:p>
    <w:p w14:paraId="5CC58888">
      <w:pPr>
        <w:spacing w:after="0" w:line="360" w:lineRule="auto"/>
        <w:ind w:left="420" w:hanging="240" w:hangingChars="100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类别2（中低速工况）</w:t>
      </w:r>
      <w:r>
        <w:rPr>
          <w:rFonts w:ascii="宋体" w:hAnsi="宋体" w:eastAsia="宋体"/>
          <w:b w:val="0"/>
          <w:sz w:val="24"/>
        </w:rPr>
        <w:t>：车速 23.89 km/h、转速 1636.64 rpm，纵向加速度 -1.06 m/s²（轻度减速），主要由节气门类变量触发；该类中另有一批外部电池电压仅 9.5 V 左右的读数，提示低压工况下的异常上报；</w:t>
      </w:r>
    </w:p>
    <w:p w14:paraId="42D4155C">
      <w:pPr>
        <w:spacing w:after="0" w:line="360" w:lineRule="auto"/>
        <w:ind w:left="420" w:hanging="240" w:hangingChars="100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类别3（中高速加速）</w:t>
      </w:r>
      <w:r>
        <w:rPr>
          <w:rFonts w:ascii="宋体" w:hAnsi="宋体" w:eastAsia="宋体"/>
          <w:b w:val="0"/>
          <w:sz w:val="24"/>
        </w:rPr>
        <w:t>：车速 49.84 km/h、转速 1829.93 rpm、纵向加速度 +1.01 m/s²，属中高速下的持续加速；</w:t>
      </w:r>
    </w:p>
    <w:p w14:paraId="514E02C7">
      <w:pPr>
        <w:spacing w:after="0" w:line="360" w:lineRule="auto"/>
        <w:ind w:left="420" w:hanging="240" w:hangingChars="100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类别4（高速高负荷）</w:t>
      </w:r>
      <w:r>
        <w:rPr>
          <w:rFonts w:ascii="宋体" w:hAnsi="宋体" w:eastAsia="宋体"/>
          <w:b w:val="0"/>
          <w:sz w:val="24"/>
        </w:rPr>
        <w:t>：车速 62.05 km/h（清洗后最大 175 km/h）、转速 2324.1 rpm（最大 3120 rpm）、纵向加速度 +2.83 m/s²、横向加速度 +9.44 m/s²，是四类行为告警中最激烈的一类，疑似急加速/超速叠加颠簸；</w:t>
      </w:r>
    </w:p>
    <w:p w14:paraId="05F3FAF9">
      <w:pPr>
        <w:spacing w:after="0" w:line="360" w:lineRule="auto"/>
        <w:ind w:left="420" w:hanging="240" w:hangingChars="100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类别5（熄火静止）</w:t>
      </w:r>
      <w:r>
        <w:rPr>
          <w:rFonts w:ascii="宋体" w:hAnsi="宋体" w:eastAsia="宋体"/>
          <w:b w:val="0"/>
          <w:sz w:val="24"/>
        </w:rPr>
        <w:t>：读数高度集中——IGNITION_STATUS 占 76.5%、TOWING 占 15.7%、IDLING 占 7.8%，三者取值为 0 时即触发；校验同刻车速可知，点火状态为 0 的时刻有 96% 车速不超过 3 km/h，与“熄火停放”的物理含义一致。</w:t>
      </w:r>
    </w:p>
    <w:p w14:paraId="75E33F26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另有两点“标签噪声”值得记录：其一，内部电量读数在 92% 以上时几乎全部被标为类别 3，外部电池电压在 45 V 以上时多为类别 4、在 9.5 V 左右时多为类别 2——这些类别与驾驶行为无关，属于规则被套用到非行为通道上造成的噪声；其二，类别 4 中垂向加速度占 44.2%，说明这一类同时承担了“路面颠簸”的语义。这对建模的影响是：标签可分性很强，但可解释性被规则口径稀释（见 6.3 节）。</w:t>
      </w:r>
    </w:p>
    <w:p w14:paraId="6344CEF7">
      <w:pPr>
        <w:keepNext/>
        <w:spacing w:before="160" w:after="0"/>
        <w:jc w:val="center"/>
      </w:pPr>
      <w:r>
        <w:drawing>
          <wp:inline distT="0" distB="0" distL="114300" distR="114300">
            <wp:extent cx="5255895" cy="4152265"/>
            <wp:effectExtent l="0" t="0" r="1905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15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FA9A">
      <w:pPr>
        <w:keepLines/>
        <w:spacing w:before="60" w:after="200" w:line="276" w:lineRule="auto"/>
        <w:jc w:val="center"/>
      </w:pPr>
      <w:r>
        <w:rPr>
          <w:rFonts w:ascii="宋体" w:hAnsi="宋体" w:eastAsia="宋体"/>
          <w:b w:val="0"/>
          <w:sz w:val="21"/>
        </w:rPr>
        <w:t>图9  各告警类别下触发变量自身的取值分布（读数级箱线图）</w:t>
      </w:r>
    </w:p>
    <w:p w14:paraId="25CB0553">
      <w:pPr>
        <w:pStyle w:val="3"/>
        <w:spacing w:before="200" w:after="100" w:line="336" w:lineRule="auto"/>
      </w:pPr>
      <w:bookmarkStart w:id="24" w:name="_Toc21300"/>
      <w:r>
        <w:rPr>
          <w:rFonts w:ascii="黑体" w:hAnsi="黑体" w:eastAsia="黑体"/>
          <w:b/>
          <w:sz w:val="25"/>
        </w:rPr>
        <w:t>5.3  告警类别与触发变量的关联</w:t>
      </w:r>
      <w:bookmarkEnd w:id="24"/>
    </w:p>
    <w:p w14:paraId="4E367008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图 10 用“类别内变量占比 / 总体占比”的 log2 提升度衡量类别与变量通道的关联。结合图中标注的类别内占比可以看出各通道分工非常清楚：类别 1 由横向加速度（26.1%）、发动机转速（22.9%）、相对与指令节气门（14.2%/12.6%）及车速（9.0%）共同触发；类别 2 几乎独占三个“绝对节气门位置”变量（合计 44.0%）；类别 3 以纵向加速度（40.8%）与垂向加速度（17.4%）为主；类别 4 以垂向加速度（44.2%）为主；类别 5 则集中在 IGNITION_STATUS（76.5%）。这说明告警规则是“按变量分域”设计的，因此建模时“变量身份”必然是最强特征，该判断在 6.3 节由实验定量验证。</w:t>
      </w:r>
    </w:p>
    <w:p w14:paraId="7889C49A">
      <w:pPr>
        <w:keepNext/>
        <w:spacing w:before="160" w:after="0"/>
        <w:jc w:val="center"/>
      </w:pPr>
      <w:r>
        <w:drawing>
          <wp:inline distT="0" distB="0" distL="114300" distR="114300">
            <wp:extent cx="4535805" cy="4249420"/>
            <wp:effectExtent l="0" t="0" r="10795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424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67E4">
      <w:pPr>
        <w:keepLines/>
        <w:spacing w:before="60" w:after="200" w:line="276" w:lineRule="auto"/>
        <w:jc w:val="center"/>
      </w:pPr>
      <w:r>
        <w:rPr>
          <w:rFonts w:ascii="宋体" w:hAnsi="宋体" w:eastAsia="宋体"/>
          <w:b w:val="0"/>
          <w:sz w:val="21"/>
        </w:rPr>
        <w:t>图10  告警类别与触发变量的关联强度（log2 提升度）</w:t>
      </w:r>
    </w:p>
    <w:p w14:paraId="719C6E72">
      <w:pPr>
        <w:pStyle w:val="3"/>
        <w:spacing w:before="200" w:after="100" w:line="336" w:lineRule="auto"/>
      </w:pPr>
      <w:bookmarkStart w:id="25" w:name="_Toc15818"/>
      <w:r>
        <w:rPr>
          <w:rFonts w:ascii="黑体" w:hAnsi="黑体" w:eastAsia="黑体"/>
          <w:b/>
          <w:sz w:val="25"/>
        </w:rPr>
        <w:t>5.4  告警与车辆运行状态的关系</w:t>
      </w:r>
      <w:bookmarkEnd w:id="25"/>
    </w:p>
    <w:p w14:paraId="77FE2677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图 11 把每条告警读数与其“同一时刻的车速/转速档位”交叉，得到的曲线几乎把规则阈值“画”了出来：车速 &lt;10 km/h 的读数中 76.9% 为类别 1、22.6% 为正常；10—20 km/h 时类别 1 仍占 75.4%；20—30 km/h 时类别 2 占 79.0%；30—50 km/h 以正常读数为主（90.0% 与 80.7%）；50—60 km/h 时类别 3（30.7%）与类别 4（69.3%）合计 100%；60 km/h 以上类别 4 占 82.8%，80 km/h 以上全部为类别 4。转速维度呈现同样的分层：1600 rpm 以下以类别 1 为主，2000 rpm 以上以类别 3/4 为主。换言之，该数据集的告警本质上是“车速/转速/加速度分区间的离散化标签”，告警等级与运行激烈程度高度正相关，业务上可把高等级告警作为驾驶风险评分的权重项。</w:t>
      </w:r>
    </w:p>
    <w:p w14:paraId="5A0DA4FD">
      <w:pPr>
        <w:keepNext/>
        <w:spacing w:before="160" w:after="0"/>
        <w:jc w:val="center"/>
      </w:pPr>
      <w:r>
        <w:drawing>
          <wp:inline distT="0" distB="0" distL="114300" distR="114300">
            <wp:extent cx="5255895" cy="2275205"/>
            <wp:effectExtent l="0" t="0" r="1905" b="1079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27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923A">
      <w:pPr>
        <w:keepLines/>
        <w:spacing w:before="60" w:after="200" w:line="276" w:lineRule="auto"/>
        <w:jc w:val="center"/>
      </w:pPr>
      <w:r>
        <w:rPr>
          <w:rFonts w:ascii="宋体" w:hAnsi="宋体" w:eastAsia="宋体"/>
          <w:b w:val="0"/>
          <w:sz w:val="21"/>
        </w:rPr>
        <w:t>图11  告警类别构成随车速/转速的变化</w:t>
      </w:r>
    </w:p>
    <w:p w14:paraId="17D7D451">
      <w:pPr>
        <w:pStyle w:val="3"/>
        <w:spacing w:before="200" w:after="100" w:line="336" w:lineRule="auto"/>
      </w:pPr>
      <w:bookmarkStart w:id="26" w:name="_Toc15634"/>
      <w:r>
        <w:rPr>
          <w:rFonts w:ascii="黑体" w:hAnsi="黑体" w:eastAsia="黑体"/>
          <w:b/>
          <w:sz w:val="25"/>
        </w:rPr>
        <w:t>5.5  告警事件的时间定位与片段划分</w:t>
      </w:r>
      <w:bookmarkEnd w:id="26"/>
    </w:p>
    <w:p w14:paraId="2714A619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单条告警读数不便直接处置，因此把“同设备、同类别、相邻间隔不超过 2 分钟”的告警读数合并为告警片段。共得到 1,078 段，其中类别 3 最多（491 段），类别 4 最少（90 段）但单段强度最高；各片段中位持续时长均在 0—5 分钟之间（类别 1 4.3、类别 2 3.5、类别 3 0.0、类别 4 3.9、类别 5 4.8 分钟），类别 5 的 90 分位达 27.9 分钟，对应长时间熄火停放。片段在设备间分布极不均匀：车-twB1gBAQ 931 段、车-GAB0gBAQ 74 段、车-NAB0gBAQ 73 段。告警点在车速曲线上的位置与时间密度见图 12，片段的数量、时长、各车辆每小时分布与前后状态变化见图 13。</w:t>
      </w:r>
    </w:p>
    <w:p w14:paraId="4E0A2D7C">
      <w:pPr>
        <w:keepNext/>
        <w:spacing w:before="160" w:after="0"/>
        <w:jc w:val="center"/>
      </w:pPr>
      <w:r>
        <w:drawing>
          <wp:inline distT="0" distB="0" distL="114300" distR="114300">
            <wp:extent cx="5255895" cy="3363595"/>
            <wp:effectExtent l="0" t="0" r="1905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36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9C78D">
      <w:pPr>
        <w:keepLines/>
        <w:spacing w:before="60" w:after="200" w:line="276" w:lineRule="auto"/>
        <w:jc w:val="center"/>
      </w:pPr>
      <w:r>
        <w:rPr>
          <w:rFonts w:ascii="宋体" w:hAnsi="宋体" w:eastAsia="宋体"/>
          <w:b w:val="0"/>
          <w:sz w:val="21"/>
        </w:rPr>
        <w:t>图12  告警事件的时序定位：(a) 车速曲线上的告警点；(b) 告警读数的时间密度</w:t>
      </w:r>
    </w:p>
    <w:p w14:paraId="2CC39B77">
      <w:pPr>
        <w:keepNext/>
        <w:spacing w:before="160" w:after="0"/>
        <w:jc w:val="center"/>
      </w:pPr>
      <w:r>
        <w:drawing>
          <wp:inline distT="0" distB="0" distL="114300" distR="114300">
            <wp:extent cx="5255895" cy="3705225"/>
            <wp:effectExtent l="0" t="0" r="1905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70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EDCC">
      <w:pPr>
        <w:keepLines/>
        <w:spacing w:before="60" w:after="200" w:line="276" w:lineRule="auto"/>
        <w:jc w:val="center"/>
      </w:pPr>
      <w:r>
        <w:rPr>
          <w:rFonts w:ascii="宋体" w:hAnsi="宋体" w:eastAsia="宋体"/>
          <w:b w:val="0"/>
          <w:sz w:val="21"/>
        </w:rPr>
        <w:t>图13  告警片段识别与前后状态：(a) 各类别片段数；(b) 片段持续时长；(c) 各车辆每小时事件数；(d) 告警读数相对前 5 分钟的变化</w:t>
      </w:r>
    </w:p>
    <w:p w14:paraId="129EE0C2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从片段分布看，类别 3、4 集中在 14—19 时，与 4.4 节的用车高峰吻合；类别 5（熄火）在夜间与凌晨相对增多，对应车辆停放。对车队管理而言，“下午高峰 + 高等级告警”是需要重点监控的时段组合。</w:t>
      </w:r>
    </w:p>
    <w:p w14:paraId="0B45560B">
      <w:pPr>
        <w:pStyle w:val="3"/>
        <w:spacing w:before="200" w:after="100" w:line="336" w:lineRule="auto"/>
      </w:pPr>
      <w:bookmarkStart w:id="27" w:name="_Toc30160"/>
      <w:r>
        <w:rPr>
          <w:rFonts w:ascii="黑体" w:hAnsi="黑体" w:eastAsia="黑体"/>
          <w:b/>
          <w:sz w:val="25"/>
        </w:rPr>
        <w:t>5.6  告警发生前后的状态对比</w:t>
      </w:r>
      <w:bookmarkEnd w:id="27"/>
    </w:p>
    <w:p w14:paraId="177A900F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直接比较“哪类告警多”会受三台设备记录量差异影响，因此进一步把每条告警还原到它的片段，比较片段起点前 5 分钟、告警读数本身、片段结束后 5 分钟的车速、转速与冷却液温度；正常对照取同一变量的正常读数（alarmClass=0）。三者的样本量不同，结论以方向与量级为主。</w:t>
      </w:r>
    </w:p>
    <w:p w14:paraId="033FC624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分类别看（前 5 分钟 → 告警读数 → 后 5 分钟）：类别 1 车速 23.4 → 7.6 → 12.8 km/h、转速 777.9 → 976.8 → 695.3 rpm，呈“减速—强冲击—恢复”的形态；类别 2 车速 16.3 → 23.9 → 27.8 km/h；类别 3 车速 9.6 → 49.8 → 10.9 km/h、转速 681.3 → 1829.9 → 579.6 rpm；类别 4 车速 16.0 → 62.0 → 23.6 km/h、转速 722.8 → 2324.1 → 463.3 rpm。类别 3、4 的告警读数明显高于事件前，符合“中高速加速/高速高负荷”的语义；类别 1 则相反，是低速下的强冲击。类别 5 只上报点火/拖车/怠速状态，没有车速、转速读数，因此不参与前后对比。</w:t>
      </w:r>
    </w:p>
    <w:p w14:paraId="2366F852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与正常读数相比，正常车速均值 30.56 km/h、转速 1365 rpm、水温 81.6 ℃；告警读数整体为 24.21 km/h、1186 rpm、49.3 ℃。整体均值受类别构成影响很大：类别 1、2 是低速工况，把总均值拉低；类别 3、4 的车速与转速则显著高于正常读数。这说明不能只看“告警总体均值”，必须分类别、分设备比较。</w:t>
      </w:r>
    </w:p>
    <w:p w14:paraId="3E1DC2E4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冷却液温度需要单独说明：全表仅 1,091 条温度读数（1.3%），类别 4、5 没有温度记录；类别 3 的 122 条读数由前窗 56.7 ℃ 升到 86.1 ℃，方向与高负荷一致；类别 1 的 110 条读数集中在 10 ℃ 左右（最低 −30 ℃），与前后窗口的 50—60 ℃ 不连续，疑似冷启动或传感器编码问题；类别 2 只有 4 条（30 ℃），不足以判断。因此温度只作为辅助证据，不据此下“告警导致升温”的结论。</w:t>
      </w:r>
    </w:p>
    <w:p w14:paraId="0CE1E3A7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按车辆统计每小时告警事件数（以片段起点计）：车-GAB0gBAQ 集中在 11—18 时，车-NAB0gBAQ 集中在 11—17 时，车-twB1gBAQ 全天都有、14 时达到峰值。按“片段数 / 观测小时”折算，三台车分别为 1.058、1.397、5.62 段/小时——车-twB1gBAQ 的记录时长是另两台车的 2—3 倍，直接比总数会高估它，按小时率比较才公平。</w:t>
      </w:r>
    </w:p>
    <w:p w14:paraId="7728B327">
      <w:pPr>
        <w:pStyle w:val="2"/>
        <w:spacing w:before="280" w:after="160" w:line="336" w:lineRule="auto"/>
      </w:pPr>
      <w:bookmarkStart w:id="28" w:name="_Toc3271"/>
      <w:r>
        <w:rPr>
          <w:rFonts w:ascii="黑体" w:hAnsi="黑体" w:eastAsia="黑体"/>
          <w:b w:val="0"/>
          <w:sz w:val="28"/>
        </w:rPr>
        <w:t>6. 模型构建、评估与可视化</w:t>
      </w:r>
      <w:bookmarkEnd w:id="28"/>
    </w:p>
    <w:p w14:paraId="133FAD04">
      <w:pPr>
        <w:pStyle w:val="3"/>
        <w:spacing w:before="200" w:after="100" w:line="336" w:lineRule="auto"/>
      </w:pPr>
      <w:bookmarkStart w:id="29" w:name="_Toc5500"/>
      <w:r>
        <w:rPr>
          <w:rFonts w:ascii="黑体" w:hAnsi="黑体" w:eastAsia="黑体"/>
          <w:b/>
          <w:sz w:val="25"/>
        </w:rPr>
        <w:t>6.1  任务定义与特征工程</w:t>
      </w:r>
      <w:bookmarkEnd w:id="29"/>
    </w:p>
    <w:p w14:paraId="51C38662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基于第 5 章的判断（标签附着于单条读数），本文把主任务定义为：给定一条传感器读数及其上下文，判断它属于哪一告警类别（六分类）。特征分三组：</w:t>
      </w:r>
    </w:p>
    <w:p w14:paraId="57F3EE3C">
      <w:pPr>
        <w:spacing w:after="0" w:line="360" w:lineRule="auto"/>
        <w:ind w:left="420" w:hanging="240" w:hangingChars="100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取值特征</w:t>
      </w:r>
      <w:r>
        <w:rPr>
          <w:rFonts w:ascii="宋体" w:hAnsi="宋体" w:eastAsia="宋体"/>
          <w:b w:val="0"/>
          <w:sz w:val="24"/>
        </w:rPr>
        <w:t>：原始值、变量内 z-score、变量内百分位排名、按变量最大值归一化后的相对水平——用于表达“这个读数偏大还是偏小”，从而绕开不同变量量纲不一致的问题；</w:t>
      </w:r>
    </w:p>
    <w:p w14:paraId="0B2AA22D">
      <w:pPr>
        <w:spacing w:after="0" w:line="360" w:lineRule="auto"/>
        <w:ind w:left="420" w:hanging="240" w:hangingChars="100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身份特征</w:t>
      </w:r>
      <w:r>
        <w:rPr>
          <w:rFonts w:ascii="宋体" w:hAnsi="宋体" w:eastAsia="宋体"/>
          <w:b w:val="0"/>
          <w:sz w:val="24"/>
        </w:rPr>
        <w:t>：变量 one-hot（50 维）、设备 one-hot（3 维）、小时的正弦/余弦编码、是否周末；</w:t>
      </w:r>
    </w:p>
    <w:p w14:paraId="50685341">
      <w:pPr>
        <w:spacing w:after="0" w:line="360" w:lineRule="auto"/>
        <w:ind w:left="420" w:hanging="240" w:hangingChars="100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上下文特征</w:t>
      </w:r>
      <w:r>
        <w:rPr>
          <w:rFonts w:ascii="宋体" w:hAnsi="宋体" w:eastAsia="宋体"/>
          <w:b w:val="0"/>
          <w:sz w:val="24"/>
        </w:rPr>
        <w:t>：同刻（前向填充后）的车速、转速、三轴加速度、节气门、点火/怠速/拖曳标志、内外电池电压等 13 个状态量，并附带缺失指示变量。</w:t>
      </w:r>
    </w:p>
    <w:p w14:paraId="3C5D2997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在此基础上设计四组实验：实验一为同分布随机划分的基准对比；实验二为消融（去掉变量身份）与跨设备泛化（留一设备）；实验三检验无监督异常检测与告警标签的一致性；实验四尝试提前预警。前三组使用读数级样本 83,359 条，第四组使用时间戳级样本。评价指标以宏平均 F1 为主（各类别等权，避免多数类掩盖问题），辅以准确率、加权 F1、各类别精确率/召回率与混淆矩阵。</w:t>
      </w:r>
    </w:p>
    <w:p w14:paraId="53997040">
      <w:pPr>
        <w:pStyle w:val="3"/>
        <w:spacing w:before="200" w:after="100" w:line="336" w:lineRule="auto"/>
      </w:pPr>
      <w:bookmarkStart w:id="30" w:name="_Toc7940"/>
      <w:r>
        <w:rPr>
          <w:rFonts w:ascii="黑体" w:hAnsi="黑体" w:eastAsia="黑体"/>
          <w:b/>
          <w:sz w:val="25"/>
        </w:rPr>
        <w:t>6.2  实验一：读数级多分类</w:t>
      </w:r>
      <w:bookmarkEnd w:id="30"/>
    </w:p>
    <w:p w14:paraId="4BC04C6A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四个模型在同一划分下的表现见表 9。</w:t>
      </w:r>
    </w:p>
    <w:p w14:paraId="45F544D4">
      <w:pPr>
        <w:keepNext/>
        <w:keepLines/>
        <w:spacing w:before="160" w:after="60" w:line="276" w:lineRule="auto"/>
        <w:jc w:val="center"/>
      </w:pPr>
      <w:r>
        <w:rPr>
          <w:rFonts w:ascii="宋体" w:hAnsi="宋体" w:eastAsia="宋体"/>
          <w:b w:val="0"/>
          <w:sz w:val="21"/>
        </w:rPr>
        <w:t>表9  读数级多分类结果（随机 70/30 划分，随机测试集 25,008 条；另附严格时间/事件隔离划分，严格训练 58,265 / 测试 24,848 条）</w:t>
      </w:r>
    </w:p>
    <w:tbl>
      <w:tblPr>
        <w:tblStyle w:val="6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6"/>
        <w:gridCol w:w="1706"/>
        <w:gridCol w:w="1706"/>
        <w:gridCol w:w="1706"/>
        <w:gridCol w:w="1706"/>
      </w:tblGrid>
      <w:tr w14:paraId="3343A8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01" w:type="dxa"/>
            <w:shd w:val="clear" w:color="auto" w:fill="EDF1F5"/>
          </w:tcPr>
          <w:p w14:paraId="29FB901B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模型</w:t>
            </w:r>
          </w:p>
        </w:tc>
        <w:tc>
          <w:tcPr>
            <w:tcW w:w="1601" w:type="dxa"/>
            <w:shd w:val="clear" w:color="auto" w:fill="EDF1F5"/>
          </w:tcPr>
          <w:p w14:paraId="40F13E4A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准确率</w:t>
            </w:r>
          </w:p>
        </w:tc>
        <w:tc>
          <w:tcPr>
            <w:tcW w:w="1601" w:type="dxa"/>
            <w:shd w:val="clear" w:color="auto" w:fill="EDF1F5"/>
          </w:tcPr>
          <w:p w14:paraId="16779B08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宏平均 F1</w:t>
            </w:r>
          </w:p>
        </w:tc>
        <w:tc>
          <w:tcPr>
            <w:tcW w:w="1601" w:type="dxa"/>
            <w:shd w:val="clear" w:color="auto" w:fill="EDF1F5"/>
          </w:tcPr>
          <w:p w14:paraId="0973134C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加权 F1</w:t>
            </w:r>
          </w:p>
        </w:tc>
        <w:tc>
          <w:tcPr>
            <w:tcW w:w="1601" w:type="dxa"/>
            <w:shd w:val="clear" w:color="auto" w:fill="EDF1F5"/>
          </w:tcPr>
          <w:p w14:paraId="3167C55E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训练耗时</w:t>
            </w:r>
          </w:p>
        </w:tc>
      </w:tr>
      <w:tr w14:paraId="64E0A7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1" w:type="dxa"/>
          </w:tcPr>
          <w:p w14:paraId="26683E08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基线(多数类)</w:t>
            </w:r>
          </w:p>
        </w:tc>
        <w:tc>
          <w:tcPr>
            <w:tcW w:w="1601" w:type="dxa"/>
          </w:tcPr>
          <w:p w14:paraId="3324CE81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0.5168</w:t>
            </w:r>
          </w:p>
        </w:tc>
        <w:tc>
          <w:tcPr>
            <w:tcW w:w="1601" w:type="dxa"/>
          </w:tcPr>
          <w:p w14:paraId="0E0957AC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0.1136</w:t>
            </w:r>
          </w:p>
        </w:tc>
        <w:tc>
          <w:tcPr>
            <w:tcW w:w="1601" w:type="dxa"/>
          </w:tcPr>
          <w:p w14:paraId="5700F8A4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0.3522</w:t>
            </w:r>
          </w:p>
        </w:tc>
        <w:tc>
          <w:tcPr>
            <w:tcW w:w="1601" w:type="dxa"/>
          </w:tcPr>
          <w:p w14:paraId="3A6EB64A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 s</w:t>
            </w:r>
          </w:p>
        </w:tc>
      </w:tr>
      <w:tr w14:paraId="3453FB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1" w:type="dxa"/>
          </w:tcPr>
          <w:p w14:paraId="4EC7F153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逻辑回归</w:t>
            </w:r>
          </w:p>
        </w:tc>
        <w:tc>
          <w:tcPr>
            <w:tcW w:w="1601" w:type="dxa"/>
          </w:tcPr>
          <w:p w14:paraId="460DF3DC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0.9096</w:t>
            </w:r>
          </w:p>
        </w:tc>
        <w:tc>
          <w:tcPr>
            <w:tcW w:w="1601" w:type="dxa"/>
          </w:tcPr>
          <w:p w14:paraId="43A3748B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0.8950</w:t>
            </w:r>
          </w:p>
        </w:tc>
        <w:tc>
          <w:tcPr>
            <w:tcW w:w="1601" w:type="dxa"/>
          </w:tcPr>
          <w:p w14:paraId="472E105B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0.9123</w:t>
            </w:r>
          </w:p>
        </w:tc>
        <w:tc>
          <w:tcPr>
            <w:tcW w:w="1601" w:type="dxa"/>
          </w:tcPr>
          <w:p w14:paraId="281AF8C7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3.5 s</w:t>
            </w:r>
          </w:p>
        </w:tc>
      </w:tr>
      <w:tr w14:paraId="2FD60B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1" w:type="dxa"/>
          </w:tcPr>
          <w:p w14:paraId="5234A5D6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随机森林</w:t>
            </w:r>
          </w:p>
        </w:tc>
        <w:tc>
          <w:tcPr>
            <w:tcW w:w="1601" w:type="dxa"/>
          </w:tcPr>
          <w:p w14:paraId="217B417D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0.9915</w:t>
            </w:r>
          </w:p>
        </w:tc>
        <w:tc>
          <w:tcPr>
            <w:tcW w:w="1601" w:type="dxa"/>
          </w:tcPr>
          <w:p w14:paraId="612714E2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0.9885</w:t>
            </w:r>
          </w:p>
        </w:tc>
        <w:tc>
          <w:tcPr>
            <w:tcW w:w="1601" w:type="dxa"/>
          </w:tcPr>
          <w:p w14:paraId="3A79C5D4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0.9916</w:t>
            </w:r>
          </w:p>
        </w:tc>
        <w:tc>
          <w:tcPr>
            <w:tcW w:w="1601" w:type="dxa"/>
          </w:tcPr>
          <w:p w14:paraId="55AE7CDC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2.7 s</w:t>
            </w:r>
          </w:p>
        </w:tc>
      </w:tr>
      <w:tr w14:paraId="2F8DE4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1" w:type="dxa"/>
          </w:tcPr>
          <w:p w14:paraId="7CEC2832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直方图梯度提升</w:t>
            </w:r>
          </w:p>
        </w:tc>
        <w:tc>
          <w:tcPr>
            <w:tcW w:w="1601" w:type="dxa"/>
          </w:tcPr>
          <w:p w14:paraId="2915F652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0.9945</w:t>
            </w:r>
          </w:p>
        </w:tc>
        <w:tc>
          <w:tcPr>
            <w:tcW w:w="1601" w:type="dxa"/>
          </w:tcPr>
          <w:p w14:paraId="1CF5E470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0.9923</w:t>
            </w:r>
          </w:p>
        </w:tc>
        <w:tc>
          <w:tcPr>
            <w:tcW w:w="1601" w:type="dxa"/>
          </w:tcPr>
          <w:p w14:paraId="3AE9ACCC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0.9945</w:t>
            </w:r>
          </w:p>
        </w:tc>
        <w:tc>
          <w:tcPr>
            <w:tcW w:w="1601" w:type="dxa"/>
          </w:tcPr>
          <w:p w14:paraId="28BAF503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3.6 s</w:t>
            </w:r>
          </w:p>
        </w:tc>
      </w:tr>
      <w:tr w14:paraId="36F6B0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1" w:type="dxa"/>
          </w:tcPr>
          <w:p w14:paraId="1A258AA6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随机森林（时间+事件隔离）</w:t>
            </w:r>
          </w:p>
        </w:tc>
        <w:tc>
          <w:tcPr>
            <w:tcW w:w="1601" w:type="dxa"/>
          </w:tcPr>
          <w:p w14:paraId="0B22F11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0.8203</w:t>
            </w:r>
          </w:p>
        </w:tc>
        <w:tc>
          <w:tcPr>
            <w:tcW w:w="1601" w:type="dxa"/>
          </w:tcPr>
          <w:p w14:paraId="1C2FD51F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0.7568</w:t>
            </w:r>
          </w:p>
        </w:tc>
        <w:tc>
          <w:tcPr>
            <w:tcW w:w="1601" w:type="dxa"/>
          </w:tcPr>
          <w:p w14:paraId="4A1684DA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0.8223</w:t>
            </w:r>
          </w:p>
        </w:tc>
        <w:tc>
          <w:tcPr>
            <w:tcW w:w="1601" w:type="dxa"/>
          </w:tcPr>
          <w:p w14:paraId="5A31A1F9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2.5 s</w:t>
            </w:r>
          </w:p>
        </w:tc>
      </w:tr>
      <w:tr w14:paraId="3EA426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1" w:type="dxa"/>
          </w:tcPr>
          <w:p w14:paraId="1DAD02D6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直方图梯度提升（时间+事件隔离）</w:t>
            </w:r>
          </w:p>
        </w:tc>
        <w:tc>
          <w:tcPr>
            <w:tcW w:w="1601" w:type="dxa"/>
          </w:tcPr>
          <w:p w14:paraId="471448FA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0.8230</w:t>
            </w:r>
          </w:p>
        </w:tc>
        <w:tc>
          <w:tcPr>
            <w:tcW w:w="1601" w:type="dxa"/>
          </w:tcPr>
          <w:p w14:paraId="44A30CE9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0.7585</w:t>
            </w:r>
          </w:p>
        </w:tc>
        <w:tc>
          <w:tcPr>
            <w:tcW w:w="1601" w:type="dxa"/>
          </w:tcPr>
          <w:p w14:paraId="5886D7EF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0.8244</w:t>
            </w:r>
          </w:p>
        </w:tc>
        <w:tc>
          <w:tcPr>
            <w:tcW w:w="1601" w:type="dxa"/>
          </w:tcPr>
          <w:p w14:paraId="3CD3D233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3.2 s</w:t>
            </w:r>
          </w:p>
        </w:tc>
      </w:tr>
    </w:tbl>
    <w:p w14:paraId="55AD32D5">
      <w:pPr>
        <w:spacing w:after="40"/>
      </w:pPr>
    </w:p>
    <w:p w14:paraId="06E8674B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多数类基线的准确率已达 0.5168（对应“正常”类占比），但宏平均 F1 仅 0.1136，说明单看准确率会严重高估。加入特征后，逻辑回归把宏平均 F1 提升到 0.8950，随机森林达到 0.9885，直方图梯度提升进一步达到 0.9923（准确率 0.9945）。如此高的精度并非“模型特别聪明”，而是数据性质使然：告警标签由设备端对单个变量施加阈值规则产生，只要模型知道“这是哪个变量、取值多少”，就能几乎复原规则。最优模型的混淆矩阵见表 10、图 14，特征重要性见图 15——排名前三的特征全部是“取值水平”类特征（归一化值、z-score、百分位），变量身份次之。</w:t>
      </w:r>
    </w:p>
    <w:p w14:paraId="1AA0A215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为避免只看总体指标，表 10 保留混淆矩阵，这里补充最优模型各类别的精确率/召回率/F1：正常 P0.996/R0.995/F0.995；C1低速冲击 P0.999/R1.000/F0.999；C2中低速 P1.000/R0.998/F0.999；C3中高速加速 P0.999/R0.995/F0.997；C4高速高负荷 P0.997/R1.000/F0.998；C5熄火 P0.960/R0.970/F0.965。</w:t>
      </w:r>
    </w:p>
    <w:p w14:paraId="6F08098B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上面的高精度建立在“随机划分”上，训练与测试可能来自同一段连续告警。按时间前 70% 切分、在切点前后各留 30 分钟、并剔除跨切点的告警片段后（表 9 后两行），梯度提升的宏平均 F1 降到 0.7585、准确率 0.8230；随机森林为 0.7568。本次只剔除了 1 个跨切点片段（172 条读数），下降主要来自时间外推而非样本量。它仍高于留一设备的 0.53—0.66，说明“同车队、后时段”比“换一台车”容易，但 0.99 确实高估了真实可用性。</w:t>
      </w:r>
    </w:p>
    <w:p w14:paraId="53C6E3EE">
      <w:pPr>
        <w:keepNext/>
        <w:keepLines/>
        <w:spacing w:before="160" w:after="60" w:line="276" w:lineRule="auto"/>
        <w:jc w:val="center"/>
      </w:pPr>
      <w:r>
        <w:rPr>
          <w:rFonts w:ascii="宋体" w:hAnsi="宋体" w:eastAsia="宋体"/>
          <w:b w:val="0"/>
          <w:sz w:val="21"/>
        </w:rPr>
        <w:t>表10  最优模型（直方图梯度提升）混淆矩阵（行归一化）</w:t>
      </w:r>
    </w:p>
    <w:tbl>
      <w:tblPr>
        <w:tblStyle w:val="6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8"/>
        <w:gridCol w:w="1218"/>
        <w:gridCol w:w="1218"/>
        <w:gridCol w:w="1218"/>
        <w:gridCol w:w="1218"/>
        <w:gridCol w:w="1218"/>
        <w:gridCol w:w="1218"/>
      </w:tblGrid>
      <w:tr w14:paraId="63C060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35" w:type="dxa"/>
            <w:shd w:val="clear" w:color="auto" w:fill="EDF1F5"/>
          </w:tcPr>
          <w:p w14:paraId="5C15CA5F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真实 \ 预测</w:t>
            </w:r>
          </w:p>
        </w:tc>
        <w:tc>
          <w:tcPr>
            <w:tcW w:w="1145" w:type="dxa"/>
            <w:shd w:val="clear" w:color="auto" w:fill="EDF1F5"/>
          </w:tcPr>
          <w:p w14:paraId="5BD1C97F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正常</w:t>
            </w:r>
          </w:p>
        </w:tc>
        <w:tc>
          <w:tcPr>
            <w:tcW w:w="1145" w:type="dxa"/>
            <w:shd w:val="clear" w:color="auto" w:fill="EDF1F5"/>
          </w:tcPr>
          <w:p w14:paraId="7885AF2D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C1低速冲击</w:t>
            </w:r>
          </w:p>
        </w:tc>
        <w:tc>
          <w:tcPr>
            <w:tcW w:w="1145" w:type="dxa"/>
            <w:shd w:val="clear" w:color="auto" w:fill="EDF1F5"/>
          </w:tcPr>
          <w:p w14:paraId="5598C9E8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C2中低速</w:t>
            </w:r>
          </w:p>
        </w:tc>
        <w:tc>
          <w:tcPr>
            <w:tcW w:w="1145" w:type="dxa"/>
            <w:shd w:val="clear" w:color="auto" w:fill="EDF1F5"/>
          </w:tcPr>
          <w:p w14:paraId="22D2B06F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C3中高速加速</w:t>
            </w:r>
          </w:p>
        </w:tc>
        <w:tc>
          <w:tcPr>
            <w:tcW w:w="1145" w:type="dxa"/>
            <w:shd w:val="clear" w:color="auto" w:fill="EDF1F5"/>
          </w:tcPr>
          <w:p w14:paraId="51F14144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C4高速高负荷</w:t>
            </w:r>
          </w:p>
        </w:tc>
        <w:tc>
          <w:tcPr>
            <w:tcW w:w="1145" w:type="dxa"/>
            <w:shd w:val="clear" w:color="auto" w:fill="EDF1F5"/>
          </w:tcPr>
          <w:p w14:paraId="3A8A623F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C5熄火</w:t>
            </w:r>
          </w:p>
        </w:tc>
      </w:tr>
      <w:tr w14:paraId="056065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35" w:type="dxa"/>
          </w:tcPr>
          <w:p w14:paraId="24C07A5A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正常</w:t>
            </w:r>
          </w:p>
        </w:tc>
        <w:tc>
          <w:tcPr>
            <w:tcW w:w="1145" w:type="dxa"/>
          </w:tcPr>
          <w:p w14:paraId="6374D002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0.99</w:t>
            </w:r>
          </w:p>
        </w:tc>
        <w:tc>
          <w:tcPr>
            <w:tcW w:w="1145" w:type="dxa"/>
          </w:tcPr>
          <w:p w14:paraId="38AFBCC3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w="1145" w:type="dxa"/>
          </w:tcPr>
          <w:p w14:paraId="1F3E0B09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w="1145" w:type="dxa"/>
          </w:tcPr>
          <w:p w14:paraId="346381BE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w="1145" w:type="dxa"/>
          </w:tcPr>
          <w:p w14:paraId="62002F1C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w="1145" w:type="dxa"/>
          </w:tcPr>
          <w:p w14:paraId="40C1A511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0.01</w:t>
            </w:r>
          </w:p>
        </w:tc>
      </w:tr>
      <w:tr w14:paraId="4E326B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35" w:type="dxa"/>
          </w:tcPr>
          <w:p w14:paraId="65388144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C1低速冲击</w:t>
            </w:r>
          </w:p>
        </w:tc>
        <w:tc>
          <w:tcPr>
            <w:tcW w:w="1145" w:type="dxa"/>
          </w:tcPr>
          <w:p w14:paraId="6F113116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w="1145" w:type="dxa"/>
          </w:tcPr>
          <w:p w14:paraId="1B62E7C4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1.00</w:t>
            </w:r>
          </w:p>
        </w:tc>
        <w:tc>
          <w:tcPr>
            <w:tcW w:w="1145" w:type="dxa"/>
          </w:tcPr>
          <w:p w14:paraId="71784E71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w="1145" w:type="dxa"/>
          </w:tcPr>
          <w:p w14:paraId="7CC15B5B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w="1145" w:type="dxa"/>
          </w:tcPr>
          <w:p w14:paraId="32D7259A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w="1145" w:type="dxa"/>
          </w:tcPr>
          <w:p w14:paraId="786C8BD3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</w:tr>
      <w:tr w14:paraId="2424516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35" w:type="dxa"/>
          </w:tcPr>
          <w:p w14:paraId="1ABEA92E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C2中低速</w:t>
            </w:r>
          </w:p>
        </w:tc>
        <w:tc>
          <w:tcPr>
            <w:tcW w:w="1145" w:type="dxa"/>
          </w:tcPr>
          <w:p w14:paraId="66718D20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w="1145" w:type="dxa"/>
          </w:tcPr>
          <w:p w14:paraId="1B90159A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w="1145" w:type="dxa"/>
          </w:tcPr>
          <w:p w14:paraId="70A6215A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1.00</w:t>
            </w:r>
          </w:p>
        </w:tc>
        <w:tc>
          <w:tcPr>
            <w:tcW w:w="1145" w:type="dxa"/>
          </w:tcPr>
          <w:p w14:paraId="432AE11C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w="1145" w:type="dxa"/>
          </w:tcPr>
          <w:p w14:paraId="71913F5A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w="1145" w:type="dxa"/>
          </w:tcPr>
          <w:p w14:paraId="415FB963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</w:tr>
      <w:tr w14:paraId="0813A7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35" w:type="dxa"/>
          </w:tcPr>
          <w:p w14:paraId="54C1DA07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C3中高速加速</w:t>
            </w:r>
          </w:p>
        </w:tc>
        <w:tc>
          <w:tcPr>
            <w:tcW w:w="1145" w:type="dxa"/>
          </w:tcPr>
          <w:p w14:paraId="31B983DB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w="1145" w:type="dxa"/>
          </w:tcPr>
          <w:p w14:paraId="0B62A533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w="1145" w:type="dxa"/>
          </w:tcPr>
          <w:p w14:paraId="7FB84BF0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w="1145" w:type="dxa"/>
          </w:tcPr>
          <w:p w14:paraId="6AD0D74A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1.00</w:t>
            </w:r>
          </w:p>
        </w:tc>
        <w:tc>
          <w:tcPr>
            <w:tcW w:w="1145" w:type="dxa"/>
          </w:tcPr>
          <w:p w14:paraId="7045B988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w="1145" w:type="dxa"/>
          </w:tcPr>
          <w:p w14:paraId="260871FB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</w:tr>
      <w:tr w14:paraId="1F4F25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35" w:type="dxa"/>
          </w:tcPr>
          <w:p w14:paraId="160D5D2A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C4高速高负荷</w:t>
            </w:r>
          </w:p>
        </w:tc>
        <w:tc>
          <w:tcPr>
            <w:tcW w:w="1145" w:type="dxa"/>
          </w:tcPr>
          <w:p w14:paraId="75D73C0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w="1145" w:type="dxa"/>
          </w:tcPr>
          <w:p w14:paraId="0E16098F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w="1145" w:type="dxa"/>
          </w:tcPr>
          <w:p w14:paraId="41D99E6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w="1145" w:type="dxa"/>
          </w:tcPr>
          <w:p w14:paraId="39A2CA99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w="1145" w:type="dxa"/>
          </w:tcPr>
          <w:p w14:paraId="678F76B7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1.00</w:t>
            </w:r>
          </w:p>
        </w:tc>
        <w:tc>
          <w:tcPr>
            <w:tcW w:w="1145" w:type="dxa"/>
          </w:tcPr>
          <w:p w14:paraId="5517846A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</w:tr>
      <w:tr w14:paraId="7C44782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35" w:type="dxa"/>
          </w:tcPr>
          <w:p w14:paraId="42543321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C5熄火</w:t>
            </w:r>
          </w:p>
        </w:tc>
        <w:tc>
          <w:tcPr>
            <w:tcW w:w="1145" w:type="dxa"/>
          </w:tcPr>
          <w:p w14:paraId="61411101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0.03</w:t>
            </w:r>
          </w:p>
        </w:tc>
        <w:tc>
          <w:tcPr>
            <w:tcW w:w="1145" w:type="dxa"/>
          </w:tcPr>
          <w:p w14:paraId="1DCB2E98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w="1145" w:type="dxa"/>
          </w:tcPr>
          <w:p w14:paraId="3D537132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w="1145" w:type="dxa"/>
          </w:tcPr>
          <w:p w14:paraId="5866647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w="1145" w:type="dxa"/>
          </w:tcPr>
          <w:p w14:paraId="298BEF48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w="1145" w:type="dxa"/>
          </w:tcPr>
          <w:p w14:paraId="246B8B44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0.97</w:t>
            </w:r>
          </w:p>
        </w:tc>
      </w:tr>
    </w:tbl>
    <w:p w14:paraId="5F254657">
      <w:pPr>
        <w:spacing w:after="40"/>
      </w:pPr>
    </w:p>
    <w:p w14:paraId="08337263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混淆矩阵显示，类别之间的混淆主要发生在类别 5（熄火）与正常类之间：熄火时部分变量取值为 0 或缺失，容易被判为正常；其余四类之间几乎不交叉，再次说明它们是按不同的信号通道与阈值区间划分的。</w:t>
      </w:r>
    </w:p>
    <w:p w14:paraId="6F1A4967">
      <w:pPr>
        <w:keepNext/>
        <w:spacing w:before="160" w:after="0"/>
        <w:jc w:val="center"/>
      </w:pPr>
      <w:r>
        <w:drawing>
          <wp:inline distT="0" distB="0" distL="114300" distR="114300">
            <wp:extent cx="5111750" cy="2514600"/>
            <wp:effectExtent l="0" t="0" r="635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51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7445C">
      <w:pPr>
        <w:keepLines/>
        <w:spacing w:before="60" w:after="200" w:line="276" w:lineRule="auto"/>
        <w:jc w:val="center"/>
      </w:pPr>
      <w:r>
        <w:rPr>
          <w:rFonts w:ascii="宋体" w:hAnsi="宋体" w:eastAsia="宋体"/>
          <w:b w:val="0"/>
          <w:sz w:val="21"/>
        </w:rPr>
        <w:t>图14  告警分类混淆矩阵（最优模型）</w:t>
      </w:r>
    </w:p>
    <w:p w14:paraId="13E781DF">
      <w:pPr>
        <w:keepNext/>
        <w:spacing w:before="160" w:after="0"/>
        <w:jc w:val="center"/>
      </w:pPr>
      <w:r>
        <w:drawing>
          <wp:inline distT="0" distB="0" distL="114300" distR="114300">
            <wp:extent cx="4463415" cy="3257550"/>
            <wp:effectExtent l="0" t="0" r="6985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25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2F1A">
      <w:pPr>
        <w:keepLines/>
        <w:spacing w:before="60" w:after="200" w:line="276" w:lineRule="auto"/>
        <w:jc w:val="center"/>
      </w:pPr>
      <w:r>
        <w:rPr>
          <w:rFonts w:ascii="宋体" w:hAnsi="宋体" w:eastAsia="宋体"/>
          <w:b w:val="0"/>
          <w:sz w:val="21"/>
        </w:rPr>
        <w:t>图15  告警识别的关键特征 Top18（随机森林 Gini 重要性）</w:t>
      </w:r>
    </w:p>
    <w:p w14:paraId="00B3E7B2">
      <w:pPr>
        <w:pStyle w:val="3"/>
        <w:spacing w:before="200" w:after="100" w:line="336" w:lineRule="auto"/>
      </w:pPr>
      <w:bookmarkStart w:id="31" w:name="_Toc12839"/>
      <w:r>
        <w:rPr>
          <w:rFonts w:ascii="黑体" w:hAnsi="黑体" w:eastAsia="黑体"/>
          <w:b/>
          <w:sz w:val="25"/>
        </w:rPr>
        <w:t>6.3  实验二：特征消融与跨设备泛化</w:t>
      </w:r>
      <w:bookmarkEnd w:id="31"/>
    </w:p>
    <w:p w14:paraId="2CC5FFA1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先看去掉变量身份特征后的消融结果，见表 11。</w:t>
      </w:r>
    </w:p>
    <w:p w14:paraId="02679E5D">
      <w:pPr>
        <w:keepNext/>
        <w:keepLines/>
        <w:spacing w:before="160" w:after="60" w:line="276" w:lineRule="auto"/>
        <w:jc w:val="center"/>
      </w:pPr>
      <w:r>
        <w:rPr>
          <w:rFonts w:ascii="宋体" w:hAnsi="宋体" w:eastAsia="宋体"/>
          <w:b w:val="0"/>
          <w:sz w:val="21"/>
        </w:rPr>
        <w:t>表11  消融实验：仅使用取值水平与运行状态上下文</w:t>
      </w:r>
    </w:p>
    <w:tbl>
      <w:tblPr>
        <w:tblStyle w:val="6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2"/>
        <w:gridCol w:w="2132"/>
        <w:gridCol w:w="2132"/>
        <w:gridCol w:w="2132"/>
      </w:tblGrid>
      <w:tr w14:paraId="27DEBE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465" w:type="dxa"/>
            <w:shd w:val="clear" w:color="auto" w:fill="EDF1F5"/>
          </w:tcPr>
          <w:p w14:paraId="3762CA7B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模型（去掉变量身份）</w:t>
            </w:r>
          </w:p>
        </w:tc>
        <w:tc>
          <w:tcPr>
            <w:tcW w:w="1680" w:type="dxa"/>
            <w:shd w:val="clear" w:color="auto" w:fill="EDF1F5"/>
          </w:tcPr>
          <w:p w14:paraId="79532AF6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准确率</w:t>
            </w:r>
          </w:p>
        </w:tc>
        <w:tc>
          <w:tcPr>
            <w:tcW w:w="1680" w:type="dxa"/>
            <w:shd w:val="clear" w:color="auto" w:fill="EDF1F5"/>
          </w:tcPr>
          <w:p w14:paraId="29DEDA8F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宏平均 F1</w:t>
            </w:r>
          </w:p>
        </w:tc>
        <w:tc>
          <w:tcPr>
            <w:tcW w:w="1680" w:type="dxa"/>
            <w:shd w:val="clear" w:color="auto" w:fill="EDF1F5"/>
          </w:tcPr>
          <w:p w14:paraId="1A2D03DA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加权 F1</w:t>
            </w:r>
          </w:p>
        </w:tc>
      </w:tr>
      <w:tr w14:paraId="45967F2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65" w:type="dxa"/>
          </w:tcPr>
          <w:p w14:paraId="02524D2B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逻辑回归(无变量身份)</w:t>
            </w:r>
          </w:p>
        </w:tc>
        <w:tc>
          <w:tcPr>
            <w:tcW w:w="1680" w:type="dxa"/>
          </w:tcPr>
          <w:p w14:paraId="210C9672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0.4122</w:t>
            </w:r>
          </w:p>
        </w:tc>
        <w:tc>
          <w:tcPr>
            <w:tcW w:w="1680" w:type="dxa"/>
          </w:tcPr>
          <w:p w14:paraId="7CE49028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0.4106</w:t>
            </w:r>
          </w:p>
        </w:tc>
        <w:tc>
          <w:tcPr>
            <w:tcW w:w="1680" w:type="dxa"/>
          </w:tcPr>
          <w:p w14:paraId="507FFEE6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0.4183</w:t>
            </w:r>
          </w:p>
        </w:tc>
      </w:tr>
      <w:tr w14:paraId="221F7F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65" w:type="dxa"/>
          </w:tcPr>
          <w:p w14:paraId="22A9474A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随机森林(无变量身份)</w:t>
            </w:r>
          </w:p>
        </w:tc>
        <w:tc>
          <w:tcPr>
            <w:tcW w:w="1680" w:type="dxa"/>
          </w:tcPr>
          <w:p w14:paraId="5CA5344F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0.9619</w:t>
            </w:r>
          </w:p>
        </w:tc>
        <w:tc>
          <w:tcPr>
            <w:tcW w:w="1680" w:type="dxa"/>
          </w:tcPr>
          <w:p w14:paraId="063D5F46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0.9541</w:t>
            </w:r>
          </w:p>
        </w:tc>
        <w:tc>
          <w:tcPr>
            <w:tcW w:w="1680" w:type="dxa"/>
          </w:tcPr>
          <w:p w14:paraId="39D4B771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0.9621</w:t>
            </w:r>
          </w:p>
        </w:tc>
      </w:tr>
    </w:tbl>
    <w:p w14:paraId="43F0C390">
      <w:pPr>
        <w:spacing w:after="40"/>
      </w:pPr>
    </w:p>
    <w:p w14:paraId="1AD611F2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去掉变量身份后，逻辑回归的准确率跌到 0.4122，几乎与随机猜测无异——因为同一个数值（例如 45）在不同变量上含义完全不同：车速 45 km/h 属正常，外部电池 45 V 正常，纵向加速度 45 m/s² 则不可能。而随机森林仍保持 0.9619 的准确率，原因是树模型可以从“多个状态的联合取值”中间接推断出当前上报的是哪一类变量。这恰恰提示：模型的高精度很大程度上来自对上报通道的识别，而非对车辆状态的物理理解。为检验模型能否迁移到新车辆，进一步做留一设备验证，结果见表 12。</w:t>
      </w:r>
    </w:p>
    <w:p w14:paraId="125D413E">
      <w:pPr>
        <w:keepNext/>
        <w:keepLines/>
        <w:spacing w:before="160" w:after="60" w:line="276" w:lineRule="auto"/>
        <w:jc w:val="center"/>
      </w:pPr>
      <w:r>
        <w:rPr>
          <w:rFonts w:ascii="宋体" w:hAnsi="宋体" w:eastAsia="宋体"/>
          <w:b w:val="0"/>
          <w:sz w:val="21"/>
        </w:rPr>
        <w:t>表12  留一设备验证（训练集不含该设备的任何数据）</w:t>
      </w:r>
    </w:p>
    <w:tbl>
      <w:tblPr>
        <w:tblStyle w:val="6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6"/>
        <w:gridCol w:w="1706"/>
        <w:gridCol w:w="1706"/>
        <w:gridCol w:w="1706"/>
        <w:gridCol w:w="1706"/>
      </w:tblGrid>
      <w:tr w14:paraId="0D07EF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01" w:type="dxa"/>
            <w:shd w:val="clear" w:color="auto" w:fill="EDF1F5"/>
          </w:tcPr>
          <w:p w14:paraId="3E587AC9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被测试设备</w:t>
            </w:r>
          </w:p>
        </w:tc>
        <w:tc>
          <w:tcPr>
            <w:tcW w:w="1601" w:type="dxa"/>
            <w:shd w:val="clear" w:color="auto" w:fill="EDF1F5"/>
          </w:tcPr>
          <w:p w14:paraId="2C3CDCA8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RF 准确率</w:t>
            </w:r>
          </w:p>
        </w:tc>
        <w:tc>
          <w:tcPr>
            <w:tcW w:w="1601" w:type="dxa"/>
            <w:shd w:val="clear" w:color="auto" w:fill="EDF1F5"/>
          </w:tcPr>
          <w:p w14:paraId="317FC244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RF 宏 F1</w:t>
            </w:r>
          </w:p>
        </w:tc>
        <w:tc>
          <w:tcPr>
            <w:tcW w:w="1601" w:type="dxa"/>
            <w:shd w:val="clear" w:color="auto" w:fill="EDF1F5"/>
          </w:tcPr>
          <w:p w14:paraId="205DC31A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LR 准确率</w:t>
            </w:r>
          </w:p>
        </w:tc>
        <w:tc>
          <w:tcPr>
            <w:tcW w:w="1601" w:type="dxa"/>
            <w:shd w:val="clear" w:color="auto" w:fill="EDF1F5"/>
          </w:tcPr>
          <w:p w14:paraId="05998D90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LR 宏 F1</w:t>
            </w:r>
          </w:p>
        </w:tc>
      </w:tr>
      <w:tr w14:paraId="547DE9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1" w:type="dxa"/>
          </w:tcPr>
          <w:p w14:paraId="1DF3D186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车-GAB0gBAQ</w:t>
            </w:r>
          </w:p>
        </w:tc>
        <w:tc>
          <w:tcPr>
            <w:tcW w:w="1601" w:type="dxa"/>
          </w:tcPr>
          <w:p w14:paraId="7F5F9788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0.7185</w:t>
            </w:r>
          </w:p>
        </w:tc>
        <w:tc>
          <w:tcPr>
            <w:tcW w:w="1601" w:type="dxa"/>
          </w:tcPr>
          <w:p w14:paraId="2C4A83FC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0.6584</w:t>
            </w:r>
          </w:p>
        </w:tc>
        <w:tc>
          <w:tcPr>
            <w:tcW w:w="1601" w:type="dxa"/>
          </w:tcPr>
          <w:p w14:paraId="5CB53022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0.6779</w:t>
            </w:r>
          </w:p>
        </w:tc>
        <w:tc>
          <w:tcPr>
            <w:tcW w:w="1601" w:type="dxa"/>
          </w:tcPr>
          <w:p w14:paraId="0D66F041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0.5796</w:t>
            </w:r>
          </w:p>
        </w:tc>
      </w:tr>
      <w:tr w14:paraId="45C231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1" w:type="dxa"/>
          </w:tcPr>
          <w:p w14:paraId="03B81609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车-NAB0gBAQ</w:t>
            </w:r>
          </w:p>
        </w:tc>
        <w:tc>
          <w:tcPr>
            <w:tcW w:w="1601" w:type="dxa"/>
          </w:tcPr>
          <w:p w14:paraId="1EB98BC1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0.7385</w:t>
            </w:r>
          </w:p>
        </w:tc>
        <w:tc>
          <w:tcPr>
            <w:tcW w:w="1601" w:type="dxa"/>
          </w:tcPr>
          <w:p w14:paraId="087208B3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0.5294</w:t>
            </w:r>
          </w:p>
        </w:tc>
        <w:tc>
          <w:tcPr>
            <w:tcW w:w="1601" w:type="dxa"/>
          </w:tcPr>
          <w:p w14:paraId="1D02554D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0.4882</w:t>
            </w:r>
          </w:p>
        </w:tc>
        <w:tc>
          <w:tcPr>
            <w:tcW w:w="1601" w:type="dxa"/>
          </w:tcPr>
          <w:p w14:paraId="321E96DB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0.3685</w:t>
            </w:r>
          </w:p>
        </w:tc>
      </w:tr>
      <w:tr w14:paraId="5A09C4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1" w:type="dxa"/>
          </w:tcPr>
          <w:p w14:paraId="112DD046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车-twB1gBAQ</w:t>
            </w:r>
          </w:p>
        </w:tc>
        <w:tc>
          <w:tcPr>
            <w:tcW w:w="1601" w:type="dxa"/>
          </w:tcPr>
          <w:p w14:paraId="21ACB6D2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0.6773</w:t>
            </w:r>
          </w:p>
        </w:tc>
        <w:tc>
          <w:tcPr>
            <w:tcW w:w="1601" w:type="dxa"/>
          </w:tcPr>
          <w:p w14:paraId="19400AEB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0.5864</w:t>
            </w:r>
          </w:p>
        </w:tc>
        <w:tc>
          <w:tcPr>
            <w:tcW w:w="1601" w:type="dxa"/>
          </w:tcPr>
          <w:p w14:paraId="5585D768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0.6821</w:t>
            </w:r>
          </w:p>
        </w:tc>
        <w:tc>
          <w:tcPr>
            <w:tcW w:w="1601" w:type="dxa"/>
          </w:tcPr>
          <w:p w14:paraId="6889D13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0.5676</w:t>
            </w:r>
          </w:p>
        </w:tc>
      </w:tr>
    </w:tbl>
    <w:p w14:paraId="675C0FB8">
      <w:pPr>
        <w:spacing w:after="40"/>
      </w:pPr>
    </w:p>
    <w:p w14:paraId="2E59A9A0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留一设备验证的结果比随机划分悲观得多：随机森林准确率降到 0.68—0.74，宏平均 F1 只有 0.53—0.66；逻辑回归在车-NAB0gBAQ 上甚至跌到 0.49。原因有二：一是不同设备的行车画像差别很大（一台以高速为主、一台以怠速为主），训练集中没有出现过目标车辆的工况分布，模型倾向把“陌生”读数判为多数类；二是车-NAB0gBAQ 样本量小（3,552 条）且类别失衡，测试波动被放大。这一结果对工程落地很关键：若要用一台车的历史数据训练、给新车上线告警模型，必须先做分布对齐（如按变量分位数标准化）或补充少量目标车辆样本。</w:t>
      </w:r>
    </w:p>
    <w:p w14:paraId="3FE24074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各模型指标与留一设备验证的对比见图 16。</w:t>
      </w:r>
    </w:p>
    <w:p w14:paraId="1AD07FD7">
      <w:pPr>
        <w:keepNext/>
        <w:spacing w:before="160" w:after="0"/>
        <w:jc w:val="center"/>
      </w:pPr>
      <w:r>
        <w:drawing>
          <wp:inline distT="0" distB="0" distL="114300" distR="114300">
            <wp:extent cx="5255895" cy="2348865"/>
            <wp:effectExtent l="0" t="0" r="1905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4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FBD2">
      <w:pPr>
        <w:keepLines/>
        <w:spacing w:before="60" w:after="200" w:line="276" w:lineRule="auto"/>
        <w:jc w:val="center"/>
      </w:pPr>
      <w:r>
        <w:rPr>
          <w:rFonts w:ascii="宋体" w:hAnsi="宋体" w:eastAsia="宋体"/>
          <w:b w:val="0"/>
          <w:sz w:val="21"/>
        </w:rPr>
        <w:t>图16  模型对比与泛化能力：(a) 各模型指标；(b) 留一设备验证</w:t>
      </w:r>
    </w:p>
    <w:p w14:paraId="05709C04">
      <w:pPr>
        <w:pStyle w:val="3"/>
        <w:spacing w:before="200" w:after="100" w:line="336" w:lineRule="auto"/>
      </w:pPr>
      <w:bookmarkStart w:id="32" w:name="_Toc22907"/>
      <w:r>
        <w:rPr>
          <w:rFonts w:ascii="黑体" w:hAnsi="黑体" w:eastAsia="黑体"/>
          <w:b/>
          <w:sz w:val="25"/>
        </w:rPr>
        <w:t>6.4  实验三：统计异常与业务告警的一致性</w:t>
      </w:r>
      <w:bookmarkEnd w:id="32"/>
    </w:p>
    <w:p w14:paraId="36FEBBBB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各变量的 3σ 异常点数及其与告警标签的重合情况见表 13。</w:t>
      </w:r>
    </w:p>
    <w:p w14:paraId="73A73D0B">
      <w:pPr>
        <w:keepNext/>
        <w:keepLines/>
        <w:spacing w:before="160" w:after="60" w:line="276" w:lineRule="auto"/>
        <w:jc w:val="center"/>
      </w:pPr>
      <w:r>
        <w:rPr>
          <w:rFonts w:ascii="宋体" w:hAnsi="宋体" w:eastAsia="宋体"/>
          <w:b w:val="0"/>
          <w:sz w:val="21"/>
        </w:rPr>
        <w:t>表13  3σ 异常检测与告警标签的一致性</w:t>
      </w:r>
    </w:p>
    <w:tbl>
      <w:tblPr>
        <w:tblStyle w:val="6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1421"/>
        <w:gridCol w:w="1421"/>
        <w:gridCol w:w="1421"/>
        <w:gridCol w:w="1421"/>
        <w:gridCol w:w="1421"/>
      </w:tblGrid>
      <w:tr w14:paraId="531F09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81" w:type="dxa"/>
            <w:shd w:val="clear" w:color="auto" w:fill="EDF1F5"/>
          </w:tcPr>
          <w:p w14:paraId="64BBF3A8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变量</w:t>
            </w:r>
          </w:p>
        </w:tc>
        <w:tc>
          <w:tcPr>
            <w:tcW w:w="1086" w:type="dxa"/>
            <w:shd w:val="clear" w:color="auto" w:fill="EDF1F5"/>
          </w:tcPr>
          <w:p w14:paraId="0D3FA52E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读数数</w:t>
            </w:r>
          </w:p>
        </w:tc>
        <w:tc>
          <w:tcPr>
            <w:tcW w:w="1176" w:type="dxa"/>
            <w:shd w:val="clear" w:color="auto" w:fill="EDF1F5"/>
          </w:tcPr>
          <w:p w14:paraId="70D5487F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3σ 异常点</w:t>
            </w:r>
          </w:p>
        </w:tc>
        <w:tc>
          <w:tcPr>
            <w:tcW w:w="1086" w:type="dxa"/>
            <w:shd w:val="clear" w:color="auto" w:fill="EDF1F5"/>
          </w:tcPr>
          <w:p w14:paraId="28FDFED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告警占比</w:t>
            </w:r>
          </w:p>
        </w:tc>
        <w:tc>
          <w:tcPr>
            <w:tcW w:w="1538" w:type="dxa"/>
            <w:shd w:val="clear" w:color="auto" w:fill="EDF1F5"/>
          </w:tcPr>
          <w:p w14:paraId="04A82B20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异常→告警 精确率</w:t>
            </w:r>
          </w:p>
        </w:tc>
        <w:tc>
          <w:tcPr>
            <w:tcW w:w="1538" w:type="dxa"/>
            <w:shd w:val="clear" w:color="auto" w:fill="EDF1F5"/>
          </w:tcPr>
          <w:p w14:paraId="63E9220A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异常→告警 召回率</w:t>
            </w:r>
          </w:p>
        </w:tc>
      </w:tr>
      <w:tr w14:paraId="63D95F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1" w:type="dxa"/>
          </w:tcPr>
          <w:p w14:paraId="57980D8D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Vehicle speed</w:t>
            </w:r>
          </w:p>
        </w:tc>
        <w:tc>
          <w:tcPr>
            <w:tcW w:w="1086" w:type="dxa"/>
          </w:tcPr>
          <w:p w14:paraId="30E23FEB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3,803</w:t>
            </w:r>
          </w:p>
        </w:tc>
        <w:tc>
          <w:tcPr>
            <w:tcW w:w="1176" w:type="dxa"/>
          </w:tcPr>
          <w:p w14:paraId="655B1934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w="1086" w:type="dxa"/>
          </w:tcPr>
          <w:p w14:paraId="55AEEA99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65.7%</w:t>
            </w:r>
          </w:p>
        </w:tc>
        <w:tc>
          <w:tcPr>
            <w:tcW w:w="1538" w:type="dxa"/>
          </w:tcPr>
          <w:p w14:paraId="6A0B9E83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1.0</w:t>
            </w:r>
          </w:p>
        </w:tc>
        <w:tc>
          <w:tcPr>
            <w:tcW w:w="1538" w:type="dxa"/>
          </w:tcPr>
          <w:p w14:paraId="7F7ADD42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0.004</w:t>
            </w:r>
          </w:p>
        </w:tc>
      </w:tr>
      <w:tr w14:paraId="3DE8D1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1" w:type="dxa"/>
          </w:tcPr>
          <w:p w14:paraId="34D9D00D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ENGINE RPM</w:t>
            </w:r>
          </w:p>
        </w:tc>
        <w:tc>
          <w:tcPr>
            <w:tcW w:w="1086" w:type="dxa"/>
          </w:tcPr>
          <w:p w14:paraId="0B9B689D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4,501</w:t>
            </w:r>
          </w:p>
        </w:tc>
        <w:tc>
          <w:tcPr>
            <w:tcW w:w="1176" w:type="dxa"/>
          </w:tcPr>
          <w:p w14:paraId="58AA5FCE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w="1086" w:type="dxa"/>
          </w:tcPr>
          <w:p w14:paraId="44F6398F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91.8%</w:t>
            </w:r>
          </w:p>
        </w:tc>
        <w:tc>
          <w:tcPr>
            <w:tcW w:w="1538" w:type="dxa"/>
          </w:tcPr>
          <w:p w14:paraId="2EA8A068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0.625</w:t>
            </w:r>
          </w:p>
        </w:tc>
        <w:tc>
          <w:tcPr>
            <w:tcW w:w="1538" w:type="dxa"/>
          </w:tcPr>
          <w:p w14:paraId="337B53EB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0.002</w:t>
            </w:r>
          </w:p>
        </w:tc>
      </w:tr>
      <w:tr w14:paraId="34FF24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1" w:type="dxa"/>
          </w:tcPr>
          <w:p w14:paraId="367C5406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ACCELERATION X</w:t>
            </w:r>
          </w:p>
        </w:tc>
        <w:tc>
          <w:tcPr>
            <w:tcW w:w="1086" w:type="dxa"/>
          </w:tcPr>
          <w:p w14:paraId="41EDFF2B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5,046</w:t>
            </w:r>
          </w:p>
        </w:tc>
        <w:tc>
          <w:tcPr>
            <w:tcW w:w="1176" w:type="dxa"/>
          </w:tcPr>
          <w:p w14:paraId="647F95FF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110</w:t>
            </w:r>
          </w:p>
        </w:tc>
        <w:tc>
          <w:tcPr>
            <w:tcW w:w="1086" w:type="dxa"/>
          </w:tcPr>
          <w:p w14:paraId="2B9E18A6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59.3%</w:t>
            </w:r>
          </w:p>
        </w:tc>
        <w:tc>
          <w:tcPr>
            <w:tcW w:w="1538" w:type="dxa"/>
          </w:tcPr>
          <w:p w14:paraId="467332D9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0.9</w:t>
            </w:r>
          </w:p>
        </w:tc>
        <w:tc>
          <w:tcPr>
            <w:tcW w:w="1538" w:type="dxa"/>
          </w:tcPr>
          <w:p w14:paraId="563602B3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0.033</w:t>
            </w:r>
          </w:p>
        </w:tc>
      </w:tr>
      <w:tr w14:paraId="36D383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1" w:type="dxa"/>
          </w:tcPr>
          <w:p w14:paraId="757FD33C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ACCELERATION Y</w:t>
            </w:r>
          </w:p>
        </w:tc>
        <w:tc>
          <w:tcPr>
            <w:tcW w:w="1086" w:type="dxa"/>
          </w:tcPr>
          <w:p w14:paraId="795072CF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4,322</w:t>
            </w:r>
          </w:p>
        </w:tc>
        <w:tc>
          <w:tcPr>
            <w:tcW w:w="1176" w:type="dxa"/>
          </w:tcPr>
          <w:p w14:paraId="3F56CB8E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118</w:t>
            </w:r>
          </w:p>
        </w:tc>
        <w:tc>
          <w:tcPr>
            <w:tcW w:w="1086" w:type="dxa"/>
          </w:tcPr>
          <w:p w14:paraId="26F393E2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97.4%</w:t>
            </w:r>
          </w:p>
        </w:tc>
        <w:tc>
          <w:tcPr>
            <w:tcW w:w="1538" w:type="dxa"/>
          </w:tcPr>
          <w:p w14:paraId="676F3366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1.0</w:t>
            </w:r>
          </w:p>
        </w:tc>
        <w:tc>
          <w:tcPr>
            <w:tcW w:w="1538" w:type="dxa"/>
          </w:tcPr>
          <w:p w14:paraId="2AA9EF7F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0.028</w:t>
            </w:r>
          </w:p>
        </w:tc>
      </w:tr>
      <w:tr w14:paraId="26DFA5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1" w:type="dxa"/>
          </w:tcPr>
          <w:p w14:paraId="61AEE8A4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ACCELERATION Z</w:t>
            </w:r>
          </w:p>
        </w:tc>
        <w:tc>
          <w:tcPr>
            <w:tcW w:w="1086" w:type="dxa"/>
          </w:tcPr>
          <w:p w14:paraId="7242D8FD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4,447</w:t>
            </w:r>
          </w:p>
        </w:tc>
        <w:tc>
          <w:tcPr>
            <w:tcW w:w="1176" w:type="dxa"/>
          </w:tcPr>
          <w:p w14:paraId="5C265C0E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123</w:t>
            </w:r>
          </w:p>
        </w:tc>
        <w:tc>
          <w:tcPr>
            <w:tcW w:w="1086" w:type="dxa"/>
          </w:tcPr>
          <w:p w14:paraId="21DE1CED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95.1%</w:t>
            </w:r>
          </w:p>
        </w:tc>
        <w:tc>
          <w:tcPr>
            <w:tcW w:w="1538" w:type="dxa"/>
          </w:tcPr>
          <w:p w14:paraId="166D7B93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0.976</w:t>
            </w:r>
          </w:p>
        </w:tc>
        <w:tc>
          <w:tcPr>
            <w:tcW w:w="1538" w:type="dxa"/>
          </w:tcPr>
          <w:p w14:paraId="6E21EBDD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0.028</w:t>
            </w:r>
          </w:p>
        </w:tc>
      </w:tr>
      <w:tr w14:paraId="29F271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1" w:type="dxa"/>
          </w:tcPr>
          <w:p w14:paraId="08185C89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EXTERNAL BATTERY</w:t>
            </w:r>
          </w:p>
        </w:tc>
        <w:tc>
          <w:tcPr>
            <w:tcW w:w="1086" w:type="dxa"/>
          </w:tcPr>
          <w:p w14:paraId="58CCA703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9,625</w:t>
            </w:r>
          </w:p>
        </w:tc>
        <w:tc>
          <w:tcPr>
            <w:tcW w:w="1176" w:type="dxa"/>
          </w:tcPr>
          <w:p w14:paraId="0D3E5FBD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213</w:t>
            </w:r>
          </w:p>
        </w:tc>
        <w:tc>
          <w:tcPr>
            <w:tcW w:w="1086" w:type="dxa"/>
          </w:tcPr>
          <w:p w14:paraId="44A5EC8A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11.0%</w:t>
            </w:r>
          </w:p>
        </w:tc>
        <w:tc>
          <w:tcPr>
            <w:tcW w:w="1538" w:type="dxa"/>
          </w:tcPr>
          <w:p w14:paraId="6CE35722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0.38</w:t>
            </w:r>
          </w:p>
        </w:tc>
        <w:tc>
          <w:tcPr>
            <w:tcW w:w="1538" w:type="dxa"/>
          </w:tcPr>
          <w:p w14:paraId="44546B10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0.077</w:t>
            </w:r>
          </w:p>
        </w:tc>
      </w:tr>
      <w:tr w14:paraId="3F77D08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1" w:type="dxa"/>
          </w:tcPr>
          <w:p w14:paraId="7FF56633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RELATIVE THROTTLE POSITION</w:t>
            </w:r>
          </w:p>
        </w:tc>
        <w:tc>
          <w:tcPr>
            <w:tcW w:w="1086" w:type="dxa"/>
          </w:tcPr>
          <w:p w14:paraId="07744BC1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2,162</w:t>
            </w:r>
          </w:p>
        </w:tc>
        <w:tc>
          <w:tcPr>
            <w:tcW w:w="1176" w:type="dxa"/>
          </w:tcPr>
          <w:p w14:paraId="73BA6E0B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75</w:t>
            </w:r>
          </w:p>
        </w:tc>
        <w:tc>
          <w:tcPr>
            <w:tcW w:w="1086" w:type="dxa"/>
          </w:tcPr>
          <w:p w14:paraId="3805563E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96.5%</w:t>
            </w:r>
          </w:p>
        </w:tc>
        <w:tc>
          <w:tcPr>
            <w:tcW w:w="1538" w:type="dxa"/>
          </w:tcPr>
          <w:p w14:paraId="125C0ECD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w="1538" w:type="dxa"/>
          </w:tcPr>
          <w:p w14:paraId="4DCD5114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</w:tr>
    </w:tbl>
    <w:p w14:paraId="59FFEE1F">
      <w:pPr>
        <w:spacing w:after="40"/>
      </w:pPr>
    </w:p>
    <w:p w14:paraId="52EE5138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做法是：对每个变量单独计算全局均值与标准差，|x−μ|&gt;3σ 的读数视为统计异常，再看这些点是否带告警标签。结果是“精确率高、召回率极低”：车速的 10 个 3σ 异常点全部（100%）带告警标签，但这些点只占全部告警车速读数的 0.4%；横向加速度的 118 个异常点全部带告警，占比也只有 2.8%；相对节气门位置的 75 个异常点没有一个带告警标签（精确率 0）。这说明：（1）真正“物理上离谱”的取值几乎必然被规则捕获，在极端点上标签是可信的；（2）绝大多数业务告警对应的是“正常范围内但超出规则阈值”的取值，3σ/IQR 之类的通用异常检测无法替代业务阈值，用它替代告警会漏掉 90% 以上的业务事件。精确率与召回率的对比以及以横向加速度为例的分布形态见图 17。</w:t>
      </w:r>
    </w:p>
    <w:p w14:paraId="0BEF9EA5">
      <w:pPr>
        <w:keepNext/>
        <w:spacing w:before="160" w:after="0"/>
        <w:jc w:val="center"/>
      </w:pPr>
      <w:r>
        <w:drawing>
          <wp:inline distT="0" distB="0" distL="114300" distR="114300">
            <wp:extent cx="5255895" cy="2245995"/>
            <wp:effectExtent l="0" t="0" r="1905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24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BF317">
      <w:pPr>
        <w:keepLines/>
        <w:spacing w:before="60" w:after="200" w:line="276" w:lineRule="auto"/>
        <w:jc w:val="center"/>
      </w:pPr>
      <w:r>
        <w:rPr>
          <w:rFonts w:ascii="宋体" w:hAnsi="宋体" w:eastAsia="宋体"/>
          <w:b w:val="0"/>
          <w:sz w:val="21"/>
        </w:rPr>
        <w:t>图17  统计异常检测与告警标签的一致性检验</w:t>
      </w:r>
    </w:p>
    <w:p w14:paraId="3F0695A6">
      <w:pPr>
        <w:pStyle w:val="3"/>
        <w:spacing w:before="200" w:after="100" w:line="336" w:lineRule="auto"/>
      </w:pPr>
      <w:bookmarkStart w:id="33" w:name="_Toc12662"/>
      <w:r>
        <w:rPr>
          <w:rFonts w:ascii="黑体" w:hAnsi="黑体" w:eastAsia="黑体"/>
          <w:b/>
          <w:sz w:val="25"/>
        </w:rPr>
        <w:t>6.5  实验四：能否提前预警</w:t>
      </w:r>
      <w:bookmarkEnd w:id="33"/>
    </w:p>
    <w:p w14:paraId="196F6B5E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任务定义为：以过去 10 分钟的车速、转速、加速度统计量（均值、极值、标准差）与告警历史为特征，预测未来 10 分钟内是否会出现新的类别 4（高速高负荷）告警片段。标签由告警片段起点构造，按时间前 70% 训练、后 30% 测试，避免相邻窗口泄漏。三个模型的评估结果见表 14。</w:t>
      </w:r>
    </w:p>
    <w:p w14:paraId="5612B22B">
      <w:pPr>
        <w:keepNext/>
        <w:keepLines/>
        <w:spacing w:before="160" w:after="60" w:line="276" w:lineRule="auto"/>
        <w:jc w:val="center"/>
      </w:pPr>
      <w:r>
        <w:rPr>
          <w:rFonts w:ascii="宋体" w:hAnsi="宋体" w:eastAsia="宋体"/>
          <w:b w:val="0"/>
          <w:sz w:val="21"/>
        </w:rPr>
        <w:t>表14  提前预警实验结果（样本 6,947 个时刻，正类占比 23.7%；后两行为切点前后各留 10 分钟、训练 4,852 / 测试 2,084 个时刻）</w:t>
      </w:r>
    </w:p>
    <w:tbl>
      <w:tblPr>
        <w:tblStyle w:val="6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1421"/>
        <w:gridCol w:w="1421"/>
        <w:gridCol w:w="1421"/>
        <w:gridCol w:w="1421"/>
        <w:gridCol w:w="1421"/>
      </w:tblGrid>
      <w:tr w14:paraId="47CB1C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54" w:type="dxa"/>
            <w:shd w:val="clear" w:color="auto" w:fill="EDF1F5"/>
          </w:tcPr>
          <w:p w14:paraId="0722091F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模型</w:t>
            </w:r>
          </w:p>
        </w:tc>
        <w:tc>
          <w:tcPr>
            <w:tcW w:w="1332" w:type="dxa"/>
            <w:shd w:val="clear" w:color="auto" w:fill="EDF1F5"/>
          </w:tcPr>
          <w:p w14:paraId="137AFF98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准确率</w:t>
            </w:r>
          </w:p>
        </w:tc>
        <w:tc>
          <w:tcPr>
            <w:tcW w:w="1332" w:type="dxa"/>
            <w:shd w:val="clear" w:color="auto" w:fill="EDF1F5"/>
          </w:tcPr>
          <w:p w14:paraId="302C0A8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精确率</w:t>
            </w:r>
          </w:p>
        </w:tc>
        <w:tc>
          <w:tcPr>
            <w:tcW w:w="1332" w:type="dxa"/>
            <w:shd w:val="clear" w:color="auto" w:fill="EDF1F5"/>
          </w:tcPr>
          <w:p w14:paraId="5DB23722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召回率</w:t>
            </w:r>
          </w:p>
        </w:tc>
        <w:tc>
          <w:tcPr>
            <w:tcW w:w="1127" w:type="dxa"/>
            <w:shd w:val="clear" w:color="auto" w:fill="EDF1F5"/>
          </w:tcPr>
          <w:p w14:paraId="1537F73D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F1</w:t>
            </w:r>
          </w:p>
        </w:tc>
        <w:tc>
          <w:tcPr>
            <w:tcW w:w="1127" w:type="dxa"/>
            <w:shd w:val="clear" w:color="auto" w:fill="EDF1F5"/>
          </w:tcPr>
          <w:p w14:paraId="4B1D1C00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AUC</w:t>
            </w:r>
          </w:p>
        </w:tc>
      </w:tr>
      <w:tr w14:paraId="5F3BA3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4" w:type="dxa"/>
          </w:tcPr>
          <w:p w14:paraId="68EA35D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基线(多数类)</w:t>
            </w:r>
          </w:p>
        </w:tc>
        <w:tc>
          <w:tcPr>
            <w:tcW w:w="1332" w:type="dxa"/>
          </w:tcPr>
          <w:p w14:paraId="1870CADE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0.7909</w:t>
            </w:r>
          </w:p>
        </w:tc>
        <w:tc>
          <w:tcPr>
            <w:tcW w:w="1332" w:type="dxa"/>
          </w:tcPr>
          <w:p w14:paraId="095874E9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0.000</w:t>
            </w:r>
          </w:p>
        </w:tc>
        <w:tc>
          <w:tcPr>
            <w:tcW w:w="1332" w:type="dxa"/>
          </w:tcPr>
          <w:p w14:paraId="121A992E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0.000</w:t>
            </w:r>
          </w:p>
        </w:tc>
        <w:tc>
          <w:tcPr>
            <w:tcW w:w="1127" w:type="dxa"/>
          </w:tcPr>
          <w:p w14:paraId="01384A93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0.000</w:t>
            </w:r>
          </w:p>
        </w:tc>
        <w:tc>
          <w:tcPr>
            <w:tcW w:w="1127" w:type="dxa"/>
          </w:tcPr>
          <w:p w14:paraId="7F6B0C8E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0.5</w:t>
            </w:r>
          </w:p>
        </w:tc>
      </w:tr>
      <w:tr w14:paraId="0741CE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4" w:type="dxa"/>
          </w:tcPr>
          <w:p w14:paraId="581003B1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逻辑回归</w:t>
            </w:r>
          </w:p>
        </w:tc>
        <w:tc>
          <w:tcPr>
            <w:tcW w:w="1332" w:type="dxa"/>
          </w:tcPr>
          <w:p w14:paraId="1A4690A0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0.6882</w:t>
            </w:r>
          </w:p>
        </w:tc>
        <w:tc>
          <w:tcPr>
            <w:tcW w:w="1332" w:type="dxa"/>
          </w:tcPr>
          <w:p w14:paraId="34FBBA68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0.350</w:t>
            </w:r>
          </w:p>
        </w:tc>
        <w:tc>
          <w:tcPr>
            <w:tcW w:w="1332" w:type="dxa"/>
          </w:tcPr>
          <w:p w14:paraId="12ED5697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0.573</w:t>
            </w:r>
          </w:p>
        </w:tc>
        <w:tc>
          <w:tcPr>
            <w:tcW w:w="1127" w:type="dxa"/>
          </w:tcPr>
          <w:p w14:paraId="5F6026B9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0.435</w:t>
            </w:r>
          </w:p>
        </w:tc>
        <w:tc>
          <w:tcPr>
            <w:tcW w:w="1127" w:type="dxa"/>
          </w:tcPr>
          <w:p w14:paraId="2F60C364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0.7327</w:t>
            </w:r>
          </w:p>
        </w:tc>
      </w:tr>
      <w:tr w14:paraId="5DC26B5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4" w:type="dxa"/>
          </w:tcPr>
          <w:p w14:paraId="494CB3E6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随机森林</w:t>
            </w:r>
          </w:p>
        </w:tc>
        <w:tc>
          <w:tcPr>
            <w:tcW w:w="1332" w:type="dxa"/>
          </w:tcPr>
          <w:p w14:paraId="473A95B6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0.7022</w:t>
            </w:r>
          </w:p>
        </w:tc>
        <w:tc>
          <w:tcPr>
            <w:tcW w:w="1332" w:type="dxa"/>
          </w:tcPr>
          <w:p w14:paraId="6A79E1EB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0.330</w:t>
            </w:r>
          </w:p>
        </w:tc>
        <w:tc>
          <w:tcPr>
            <w:tcW w:w="1332" w:type="dxa"/>
          </w:tcPr>
          <w:p w14:paraId="3D07CD0B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0.411</w:t>
            </w:r>
          </w:p>
        </w:tc>
        <w:tc>
          <w:tcPr>
            <w:tcW w:w="1127" w:type="dxa"/>
          </w:tcPr>
          <w:p w14:paraId="32466B18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0.366</w:t>
            </w:r>
          </w:p>
        </w:tc>
        <w:tc>
          <w:tcPr>
            <w:tcW w:w="1127" w:type="dxa"/>
          </w:tcPr>
          <w:p w14:paraId="67EB46E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0.5915</w:t>
            </w:r>
          </w:p>
        </w:tc>
      </w:tr>
      <w:tr w14:paraId="3D5503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4" w:type="dxa"/>
          </w:tcPr>
          <w:p w14:paraId="2DF4FFE7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逻辑回归（时间+事件隔离）</w:t>
            </w:r>
          </w:p>
        </w:tc>
        <w:tc>
          <w:tcPr>
            <w:tcW w:w="1332" w:type="dxa"/>
          </w:tcPr>
          <w:p w14:paraId="74437ED3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0.6852</w:t>
            </w:r>
          </w:p>
        </w:tc>
        <w:tc>
          <w:tcPr>
            <w:tcW w:w="1332" w:type="dxa"/>
          </w:tcPr>
          <w:p w14:paraId="2E488CA1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0.347</w:t>
            </w:r>
          </w:p>
        </w:tc>
        <w:tc>
          <w:tcPr>
            <w:tcW w:w="1332" w:type="dxa"/>
          </w:tcPr>
          <w:p w14:paraId="275F2776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0.573</w:t>
            </w:r>
          </w:p>
        </w:tc>
        <w:tc>
          <w:tcPr>
            <w:tcW w:w="1127" w:type="dxa"/>
          </w:tcPr>
          <w:p w14:paraId="1777FF0D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0.432</w:t>
            </w:r>
          </w:p>
        </w:tc>
        <w:tc>
          <w:tcPr>
            <w:tcW w:w="1127" w:type="dxa"/>
          </w:tcPr>
          <w:p w14:paraId="25BF5392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0.7293</w:t>
            </w:r>
          </w:p>
        </w:tc>
      </w:tr>
      <w:tr w14:paraId="03B10A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4" w:type="dxa"/>
          </w:tcPr>
          <w:p w14:paraId="023BE22F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随机森林（时间+事件隔离）</w:t>
            </w:r>
          </w:p>
        </w:tc>
        <w:tc>
          <w:tcPr>
            <w:tcW w:w="1332" w:type="dxa"/>
          </w:tcPr>
          <w:p w14:paraId="172AD66D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0.7150</w:t>
            </w:r>
          </w:p>
        </w:tc>
        <w:tc>
          <w:tcPr>
            <w:tcW w:w="1332" w:type="dxa"/>
          </w:tcPr>
          <w:p w14:paraId="52DBC1B0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0.346</w:t>
            </w:r>
          </w:p>
        </w:tc>
        <w:tc>
          <w:tcPr>
            <w:tcW w:w="1332" w:type="dxa"/>
          </w:tcPr>
          <w:p w14:paraId="461DBBAA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0.408</w:t>
            </w:r>
          </w:p>
        </w:tc>
        <w:tc>
          <w:tcPr>
            <w:tcW w:w="1127" w:type="dxa"/>
          </w:tcPr>
          <w:p w14:paraId="2ECCDA87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0.375</w:t>
            </w:r>
          </w:p>
        </w:tc>
        <w:tc>
          <w:tcPr>
            <w:tcW w:w="1127" w:type="dxa"/>
          </w:tcPr>
          <w:p w14:paraId="4BB677A8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0.5937</w:t>
            </w:r>
          </w:p>
        </w:tc>
      </w:tr>
    </w:tbl>
    <w:p w14:paraId="78626751">
      <w:pPr>
        <w:spacing w:after="40"/>
      </w:pPr>
    </w:p>
    <w:p w14:paraId="725C2EBF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逻辑回归 AUC 达到 0.7327，在 0.35 的精确率下取得 0.57 的召回率；随机森林 AUC 为 0.5915，明显更弱。树模型表现更差的原因在于样本量小（约 4,800 条训练样本）、特征维度相对较高，且不同时间段的告警密度存在漂移，容易过拟合；逻辑回归在标准化后更稳健。从特征重要性看，模型主要依赖“过去 10 分钟的车速峰值与波动”“近期类别 4 告警次数”等信息，与业务直觉一致：即将出现高速高负荷告警的车辆，往往已在持续高速或频繁加速。但 AUC 0.73 只能算“弱可用”，若直接用于实时预警误报会偏高；更现实的用法是把它作为风险评分，与阈值规则串联（规则触发 → 模型排序 → 人工复核），或在采样频率提升后重新评估。</w:t>
      </w:r>
    </w:p>
    <w:p w14:paraId="68715BD2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进一步把切点前后各留 10 分钟（覆盖“未来 10 分钟”标签窗口），去掉可能跨集合的相邻时刻后，逻辑回归的 AUC 为 0.7293、F1 为 0.432；随机森林 AUC 为 0.5937。与原始切分（0.7327）几乎一致，说明这份数据的预警难度主要来自特征信息量，而不是切分泄漏；但隔离后结论更可信。</w:t>
      </w:r>
    </w:p>
    <w:p w14:paraId="3B71A1DB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PR 曲线与关键特征的排序见图 18。</w:t>
      </w:r>
    </w:p>
    <w:p w14:paraId="0A580AC0">
      <w:pPr>
        <w:keepNext/>
        <w:spacing w:before="160" w:after="0"/>
        <w:jc w:val="center"/>
      </w:pPr>
      <w:r>
        <w:drawing>
          <wp:inline distT="0" distB="0" distL="114300" distR="114300">
            <wp:extent cx="5255895" cy="2303780"/>
            <wp:effectExtent l="0" t="0" r="1905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D9E6">
      <w:pPr>
        <w:keepLines/>
        <w:spacing w:before="60" w:after="200" w:line="276" w:lineRule="auto"/>
        <w:jc w:val="center"/>
      </w:pPr>
      <w:r>
        <w:rPr>
          <w:rFonts w:ascii="宋体" w:hAnsi="宋体" w:eastAsia="宋体"/>
          <w:b w:val="0"/>
          <w:sz w:val="21"/>
        </w:rPr>
        <w:t>图18  提前预警模型的可行性：(a) PR 曲线；(b) 关键特征</w:t>
      </w:r>
    </w:p>
    <w:p w14:paraId="4BEDDEAB">
      <w:pPr>
        <w:pStyle w:val="3"/>
        <w:spacing w:before="200" w:after="100" w:line="336" w:lineRule="auto"/>
      </w:pPr>
      <w:bookmarkStart w:id="34" w:name="_Toc12053"/>
      <w:r>
        <w:rPr>
          <w:rFonts w:ascii="黑体" w:hAnsi="黑体" w:eastAsia="黑体"/>
          <w:b/>
          <w:sz w:val="25"/>
        </w:rPr>
        <w:t>6.6  模型评估小结</w:t>
      </w:r>
      <w:bookmarkEnd w:id="34"/>
    </w:p>
    <w:p w14:paraId="137E5D67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四组实验的主要结论及其对应用的启示汇总见表 15。</w:t>
      </w:r>
    </w:p>
    <w:p w14:paraId="1F464D78">
      <w:pPr>
        <w:keepNext/>
        <w:keepLines/>
        <w:spacing w:before="160" w:after="60" w:line="276" w:lineRule="auto"/>
        <w:jc w:val="center"/>
      </w:pPr>
      <w:r>
        <w:rPr>
          <w:rFonts w:ascii="宋体" w:hAnsi="宋体" w:eastAsia="宋体"/>
          <w:b w:val="0"/>
          <w:sz w:val="21"/>
        </w:rPr>
        <w:t>表15  四组实验的结论与启示</w:t>
      </w:r>
    </w:p>
    <w:tbl>
      <w:tblPr>
        <w:tblStyle w:val="6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3"/>
        <w:gridCol w:w="2843"/>
        <w:gridCol w:w="2843"/>
      </w:tblGrid>
      <w:tr w14:paraId="5F4578D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38" w:type="dxa"/>
            <w:shd w:val="clear" w:color="auto" w:fill="EDF1F5"/>
          </w:tcPr>
          <w:p w14:paraId="7EB94E13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实验</w:t>
            </w:r>
          </w:p>
        </w:tc>
        <w:tc>
          <w:tcPr>
            <w:tcW w:w="3014" w:type="dxa"/>
            <w:shd w:val="clear" w:color="auto" w:fill="EDF1F5"/>
          </w:tcPr>
          <w:p w14:paraId="711567CF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结论</w:t>
            </w:r>
          </w:p>
        </w:tc>
        <w:tc>
          <w:tcPr>
            <w:tcW w:w="3552" w:type="dxa"/>
            <w:shd w:val="clear" w:color="auto" w:fill="EDF1F5"/>
          </w:tcPr>
          <w:p w14:paraId="14E8C7B3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对应用的启示</w:t>
            </w:r>
          </w:p>
        </w:tc>
      </w:tr>
      <w:tr w14:paraId="42653E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8" w:type="dxa"/>
          </w:tcPr>
          <w:p w14:paraId="3474006C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读数级多分类</w:t>
            </w:r>
          </w:p>
        </w:tc>
        <w:tc>
          <w:tcPr>
            <w:tcW w:w="3014" w:type="dxa"/>
          </w:tcPr>
          <w:p w14:paraId="18C4768D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随机划分宏 F1 0.9923；时间+事件隔离 0.7585</w:t>
            </w:r>
          </w:p>
        </w:tc>
        <w:tc>
          <w:tcPr>
            <w:tcW w:w="3552" w:type="dxa"/>
          </w:tcPr>
          <w:p w14:paraId="70BA6481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标签高度依赖“哪个变量+取何值”，本质是规则复现；严格切分后仍有 0.76</w:t>
            </w:r>
          </w:p>
        </w:tc>
      </w:tr>
      <w:tr w14:paraId="0E1E93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8" w:type="dxa"/>
          </w:tcPr>
          <w:p w14:paraId="7EFB23C0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特征消融</w:t>
            </w:r>
          </w:p>
        </w:tc>
        <w:tc>
          <w:tcPr>
            <w:tcW w:w="3014" w:type="dxa"/>
          </w:tcPr>
          <w:p w14:paraId="7B8A238E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去掉变量身份后 LR 准确率降至 0.4122</w:t>
            </w:r>
          </w:p>
        </w:tc>
        <w:tc>
          <w:tcPr>
            <w:tcW w:w="3552" w:type="dxa"/>
          </w:tcPr>
          <w:p w14:paraId="253EC6D7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必须保留变量身份特征，或改用能推断通道的树模型</w:t>
            </w:r>
          </w:p>
        </w:tc>
      </w:tr>
      <w:tr w14:paraId="1FA533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8" w:type="dxa"/>
          </w:tcPr>
          <w:p w14:paraId="3931B673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留一设备验证</w:t>
            </w:r>
          </w:p>
        </w:tc>
        <w:tc>
          <w:tcPr>
            <w:tcW w:w="3014" w:type="dxa"/>
          </w:tcPr>
          <w:p w14:paraId="5C4A207C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宏 F1 降至 0.53—0.66</w:t>
            </w:r>
          </w:p>
        </w:tc>
        <w:tc>
          <w:tcPr>
            <w:tcW w:w="3552" w:type="dxa"/>
          </w:tcPr>
          <w:p w14:paraId="33A8CAA5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跨车辆上线前需做分布对齐或补充目标车辆样本</w:t>
            </w:r>
          </w:p>
        </w:tc>
      </w:tr>
      <w:tr w14:paraId="286013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8" w:type="dxa"/>
          </w:tcPr>
          <w:p w14:paraId="65F3A276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异常一致性</w:t>
            </w:r>
          </w:p>
        </w:tc>
        <w:tc>
          <w:tcPr>
            <w:tcW w:w="3014" w:type="dxa"/>
          </w:tcPr>
          <w:p w14:paraId="03B72100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精确率高、召回率 &lt;8%</w:t>
            </w:r>
          </w:p>
        </w:tc>
        <w:tc>
          <w:tcPr>
            <w:tcW w:w="3552" w:type="dxa"/>
          </w:tcPr>
          <w:p w14:paraId="0C1507AB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统计异常检测不能替代业务阈值告警</w:t>
            </w:r>
          </w:p>
        </w:tc>
      </w:tr>
      <w:tr w14:paraId="1BA994B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8" w:type="dxa"/>
          </w:tcPr>
          <w:p w14:paraId="556179AE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提前预警</w:t>
            </w:r>
          </w:p>
        </w:tc>
        <w:tc>
          <w:tcPr>
            <w:tcW w:w="3014" w:type="dxa"/>
          </w:tcPr>
          <w:p w14:paraId="5A1638C2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AUC 0.7327（严格切分 0.7293）</w:t>
            </w:r>
          </w:p>
        </w:tc>
        <w:tc>
          <w:tcPr>
            <w:tcW w:w="3552" w:type="dxa"/>
          </w:tcPr>
          <w:p w14:paraId="3E81D389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可作风险评分，不宜单独作为实时预警</w:t>
            </w:r>
          </w:p>
        </w:tc>
      </w:tr>
    </w:tbl>
    <w:p w14:paraId="159BBB4B">
      <w:pPr>
        <w:spacing w:after="40"/>
      </w:pPr>
    </w:p>
    <w:p w14:paraId="4E78E183">
      <w:pPr>
        <w:pStyle w:val="2"/>
        <w:spacing w:before="280" w:after="160" w:line="336" w:lineRule="auto"/>
      </w:pPr>
      <w:bookmarkStart w:id="35" w:name="_Toc5940"/>
      <w:r>
        <w:rPr>
          <w:rFonts w:ascii="黑体" w:hAnsi="黑体" w:eastAsia="黑体"/>
          <w:b w:val="0"/>
          <w:sz w:val="28"/>
        </w:rPr>
        <w:t>7. 总结与结论</w:t>
      </w:r>
      <w:bookmarkEnd w:id="35"/>
    </w:p>
    <w:p w14:paraId="1094D90F">
      <w:pPr>
        <w:pStyle w:val="3"/>
        <w:spacing w:before="200" w:after="100" w:line="336" w:lineRule="auto"/>
      </w:pPr>
      <w:bookmarkStart w:id="36" w:name="_Toc9934"/>
      <w:r>
        <w:rPr>
          <w:rFonts w:ascii="黑体" w:hAnsi="黑体" w:eastAsia="黑体"/>
          <w:b/>
          <w:sz w:val="25"/>
        </w:rPr>
        <w:t>7.1  主要发现</w:t>
      </w:r>
      <w:bookmarkEnd w:id="36"/>
    </w:p>
    <w:p w14:paraId="578604D0">
      <w:pPr>
        <w:spacing w:after="0" w:line="360" w:lineRule="auto"/>
        <w:ind w:left="420" w:hanging="240" w:hangingChars="100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数据结构</w:t>
      </w:r>
      <w:r>
        <w:rPr>
          <w:rFonts w:ascii="宋体" w:hAnsi="宋体" w:eastAsia="宋体"/>
          <w:b w:val="0"/>
          <w:sz w:val="24"/>
        </w:rPr>
        <w:t>：车载遥测是典型的“事件驱动 + 多频率混合”长表，（设备，时间戳）透视后填充率仅 9.0%，必须先规整再分析；定位字段的脏数据比例达 11.6%，是清洗中影响最大的单项；</w:t>
      </w:r>
    </w:p>
    <w:p w14:paraId="72EF7655">
      <w:pPr>
        <w:spacing w:after="0" w:line="360" w:lineRule="auto"/>
        <w:ind w:left="420" w:hanging="240" w:hangingChars="100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车辆画像</w:t>
      </w:r>
      <w:r>
        <w:rPr>
          <w:rFonts w:ascii="宋体" w:hAnsi="宋体" w:eastAsia="宋体"/>
          <w:b w:val="0"/>
          <w:sz w:val="24"/>
        </w:rPr>
        <w:t>：三台设备分别对应“高速通勤”“城市配送”“短途停放”三种用车画像，工况结构、日里程与告警率显著不同，结论必须分设备讨论；</w:t>
      </w:r>
    </w:p>
    <w:p w14:paraId="79E7F55A">
      <w:pPr>
        <w:spacing w:after="0" w:line="360" w:lineRule="auto"/>
        <w:ind w:left="420" w:hanging="240" w:hangingChars="100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告警语义</w:t>
      </w:r>
      <w:r>
        <w:rPr>
          <w:rFonts w:ascii="宋体" w:hAnsi="宋体" w:eastAsia="宋体"/>
          <w:b w:val="0"/>
          <w:sz w:val="24"/>
        </w:rPr>
        <w:t>：alarmClass 实为分级驾驶行为/工况告警，五类分别对应低速强冲击、中低速工况、中高速加速、高速高负荷与熄火静止；告警等级与车速、转速、加速度强度正相关，共识别 1,078 个告警片段，高等级片段集中在 14—19 时；</w:t>
      </w:r>
    </w:p>
    <w:p w14:paraId="289C191A">
      <w:pPr>
        <w:spacing w:after="0" w:line="360" w:lineRule="auto"/>
        <w:ind w:left="420" w:hanging="240" w:hangingChars="100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建模边界</w:t>
      </w:r>
      <w:r>
        <w:rPr>
          <w:rFonts w:ascii="宋体" w:hAnsi="宋体" w:eastAsia="宋体"/>
          <w:b w:val="0"/>
          <w:sz w:val="24"/>
        </w:rPr>
        <w:t>：读数级分类随机划分宏 F1 0.9923，但按时间+事件隔离后降至 0.7585，跨设备泛化进一步降到 0.53—0.66，说明高精度主要来自对规则通道的复现，而非对车辆状态的深层理解；统计异常检测无法替代业务告警；提前预警 AUC 为 0.7327（严格切分 0.7293），尚需改进。</w:t>
      </w:r>
    </w:p>
    <w:p w14:paraId="4CD5C7D9">
      <w:pPr>
        <w:pStyle w:val="3"/>
        <w:spacing w:before="200" w:after="100" w:line="336" w:lineRule="auto"/>
      </w:pPr>
      <w:bookmarkStart w:id="37" w:name="_Toc8013"/>
      <w:r>
        <w:rPr>
          <w:rFonts w:ascii="黑体" w:hAnsi="黑体" w:eastAsia="黑体"/>
          <w:b/>
          <w:sz w:val="25"/>
        </w:rPr>
        <w:t>7.2  建议</w:t>
      </w:r>
      <w:bookmarkEnd w:id="37"/>
    </w:p>
    <w:p w14:paraId="74833317">
      <w:pPr>
        <w:spacing w:after="0" w:line="360" w:lineRule="auto"/>
        <w:ind w:left="420" w:hanging="240" w:hangingChars="100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告警分层管理</w:t>
      </w:r>
      <w:r>
        <w:rPr>
          <w:rFonts w:ascii="宋体" w:hAnsi="宋体" w:eastAsia="宋体"/>
          <w:b w:val="0"/>
          <w:sz w:val="24"/>
        </w:rPr>
        <w:t>：把类别 5（熄火）这类“状态类”告警与类别 1—4（行为类）告警分开，前者从告警中心下移为“状态标记”，避免 6.9% 的读数长期占用告警通道；</w:t>
      </w:r>
    </w:p>
    <w:p w14:paraId="0082D3A8">
      <w:pPr>
        <w:spacing w:after="0" w:line="360" w:lineRule="auto"/>
        <w:ind w:left="420" w:hanging="240" w:hangingChars="100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提升关键信号采样率</w:t>
      </w:r>
      <w:r>
        <w:rPr>
          <w:rFonts w:ascii="宋体" w:hAnsi="宋体" w:eastAsia="宋体"/>
          <w:b w:val="0"/>
          <w:sz w:val="24"/>
        </w:rPr>
        <w:t>：车速、转速、加速度是全部行为告警的判据，当前数分钟一次的上报导致 85.0% 的 5 分钟窗口没有状态数据，建议改为 1—5 秒定频上报（可只上报变化量以控制带宽）；</w:t>
      </w:r>
    </w:p>
    <w:p w14:paraId="4423CE3B">
      <w:pPr>
        <w:spacing w:after="0" w:line="360" w:lineRule="auto"/>
        <w:ind w:left="420" w:hanging="240" w:hangingChars="100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跨车辆建模先做分布对齐</w:t>
      </w:r>
      <w:r>
        <w:rPr>
          <w:rFonts w:ascii="宋体" w:hAnsi="宋体" w:eastAsia="宋体"/>
          <w:b w:val="0"/>
          <w:sz w:val="24"/>
        </w:rPr>
        <w:t>：新车上线时先跑 1—2 天“只评估不告警”模式，用分位数标准化对齐特征分布，再启用模型评分；</w:t>
      </w:r>
    </w:p>
    <w:p w14:paraId="2EFAD243">
      <w:pPr>
        <w:spacing w:after="0" w:line="360" w:lineRule="auto"/>
        <w:ind w:left="420" w:hanging="240" w:hangingChars="100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构建驾驶风险评分</w:t>
      </w:r>
      <w:r>
        <w:rPr>
          <w:rFonts w:ascii="宋体" w:hAnsi="宋体" w:eastAsia="宋体"/>
          <w:b w:val="0"/>
          <w:sz w:val="24"/>
        </w:rPr>
        <w:t>：以“告警片段数 × 等级权重 ÷ 行驶里程”构造单车风险分，本例中车-GAB0gBAQ 的高速工况与告警率最高，是安全管理上的优先对象；</w:t>
      </w:r>
    </w:p>
    <w:p w14:paraId="64A60092">
      <w:pPr>
        <w:spacing w:after="0" w:line="360" w:lineRule="auto"/>
        <w:ind w:left="420" w:hanging="240" w:hangingChars="100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设备维护</w:t>
      </w:r>
      <w:r>
        <w:rPr>
          <w:rFonts w:ascii="宋体" w:hAnsi="宋体" w:eastAsia="宋体"/>
          <w:b w:val="0"/>
          <w:sz w:val="24"/>
        </w:rPr>
        <w:t>：车-NAB0gBAQ 的定位模块连续上报零值，应作为设备故障单独派单，否则该车的轨迹与里程类指标长期不可用。</w:t>
      </w:r>
    </w:p>
    <w:p w14:paraId="4891D172">
      <w:pPr>
        <w:pStyle w:val="3"/>
        <w:spacing w:before="200" w:after="100" w:line="336" w:lineRule="auto"/>
      </w:pPr>
      <w:bookmarkStart w:id="38" w:name="_Toc599"/>
      <w:r>
        <w:rPr>
          <w:rFonts w:ascii="黑体" w:hAnsi="黑体" w:eastAsia="黑体"/>
          <w:b/>
          <w:sz w:val="25"/>
        </w:rPr>
        <w:t>7.3  不足与改进方向</w:t>
      </w:r>
      <w:bookmarkEnd w:id="38"/>
    </w:p>
    <w:p w14:paraId="710E9E86">
      <w:pPr>
        <w:spacing w:after="0" w:line="360" w:lineRule="auto"/>
        <w:ind w:left="420" w:hanging="240" w:hangingChars="100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标签口径未知</w:t>
      </w:r>
      <w:r>
        <w:rPr>
          <w:rFonts w:ascii="宋体" w:hAnsi="宋体" w:eastAsia="宋体"/>
          <w:b w:val="0"/>
          <w:sz w:val="24"/>
        </w:rPr>
        <w:t>：本文对告警语义的解释是从数据反推的，若能获得设备端规则文档即可直接验证；</w:t>
      </w:r>
    </w:p>
    <w:p w14:paraId="2A8CE709">
      <w:pPr>
        <w:spacing w:after="0" w:line="360" w:lineRule="auto"/>
        <w:ind w:left="420" w:hanging="240" w:hangingChars="100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样本不均衡与设备偏倚</w:t>
      </w:r>
      <w:r>
        <w:rPr>
          <w:rFonts w:ascii="宋体" w:hAnsi="宋体" w:eastAsia="宋体"/>
          <w:b w:val="0"/>
          <w:sz w:val="24"/>
        </w:rPr>
        <w:t>：车-twB1gBAQ 占 82% 的记录，总体统计容易被单台设备主导，后续可采用分层抽样或加权评估；</w:t>
      </w:r>
    </w:p>
    <w:p w14:paraId="61AA7E61">
      <w:pPr>
        <w:spacing w:after="0" w:line="360" w:lineRule="auto"/>
        <w:ind w:left="420" w:hanging="240" w:hangingChars="100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时间跨度短</w:t>
      </w:r>
      <w:r>
        <w:rPr>
          <w:rFonts w:ascii="宋体" w:hAnsi="宋体" w:eastAsia="宋体"/>
          <w:b w:val="0"/>
          <w:sz w:val="24"/>
        </w:rPr>
        <w:t>：仅 7.5 天，季节性、月度维保等因素无法体现，提前预警的时间漂移也部分源于此；</w:t>
      </w:r>
    </w:p>
    <w:p w14:paraId="76987E31">
      <w:pPr>
        <w:spacing w:after="0" w:line="360" w:lineRule="auto"/>
        <w:ind w:left="420" w:hanging="240" w:hangingChars="100"/>
        <w:jc w:val="both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外部信息不足</w:t>
      </w:r>
      <w:r>
        <w:rPr>
          <w:rFonts w:ascii="宋体" w:hAnsi="宋体" w:eastAsia="宋体"/>
          <w:b w:val="0"/>
          <w:sz w:val="24"/>
        </w:rPr>
        <w:t>：清码后行驶里程、燃油液位等变量记录过少，若补齐将有助于刻画长期健康状态。</w:t>
      </w:r>
    </w:p>
    <w:p w14:paraId="323BA19D">
      <w:pPr>
        <w:pStyle w:val="2"/>
        <w:spacing w:before="280" w:after="160" w:line="336" w:lineRule="auto"/>
      </w:pPr>
      <w:bookmarkStart w:id="39" w:name="_Toc27733"/>
      <w:r>
        <w:rPr>
          <w:rFonts w:ascii="黑体" w:hAnsi="黑体" w:eastAsia="黑体"/>
          <w:b w:val="0"/>
          <w:sz w:val="28"/>
        </w:rPr>
        <w:t>8. 小组成员分工与个人承担</w:t>
      </w:r>
      <w:bookmarkEnd w:id="39"/>
    </w:p>
    <w:p w14:paraId="0E17ACF7">
      <w:pPr>
        <w:pStyle w:val="3"/>
        <w:spacing w:before="200" w:after="100" w:line="336" w:lineRule="auto"/>
      </w:pPr>
      <w:bookmarkStart w:id="40" w:name="_Toc19189"/>
      <w:r>
        <w:rPr>
          <w:rFonts w:ascii="黑体" w:hAnsi="黑体" w:eastAsia="黑体"/>
          <w:b/>
          <w:sz w:val="25"/>
        </w:rPr>
        <w:t>8.1  分工说明</w:t>
      </w:r>
      <w:bookmarkEnd w:id="40"/>
    </w:p>
    <w:p w14:paraId="7F465376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本项目为 3 人小组共同完成，采用“模块负责 + 交叉复核”的方式，每人负责一条完整链路（脚本 + 图表 + 报告章节），其余两人负责复核，具体分工见表 16。</w:t>
      </w:r>
    </w:p>
    <w:p w14:paraId="004FEBC1">
      <w:pPr>
        <w:keepNext/>
        <w:keepLines/>
        <w:spacing w:before="160" w:after="60" w:line="276" w:lineRule="auto"/>
        <w:jc w:val="center"/>
      </w:pPr>
      <w:r>
        <w:rPr>
          <w:rFonts w:ascii="宋体" w:hAnsi="宋体" w:eastAsia="宋体"/>
          <w:b w:val="0"/>
          <w:sz w:val="21"/>
        </w:rPr>
        <w:t>表16  小组成员分工</w:t>
      </w:r>
    </w:p>
    <w:tbl>
      <w:tblPr>
        <w:tblStyle w:val="6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2"/>
        <w:gridCol w:w="2132"/>
        <w:gridCol w:w="2132"/>
        <w:gridCol w:w="2132"/>
      </w:tblGrid>
      <w:tr w14:paraId="096BC5E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39" w:type="dxa"/>
            <w:shd w:val="clear" w:color="auto" w:fill="EDF1F5"/>
          </w:tcPr>
          <w:p w14:paraId="4AD37084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成员姓名</w:t>
            </w:r>
          </w:p>
        </w:tc>
        <w:tc>
          <w:tcPr>
            <w:tcW w:w="1229" w:type="dxa"/>
            <w:shd w:val="clear" w:color="auto" w:fill="EDF1F5"/>
          </w:tcPr>
          <w:p w14:paraId="029EFBEC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学号</w:t>
            </w:r>
          </w:p>
        </w:tc>
        <w:tc>
          <w:tcPr>
            <w:tcW w:w="2357" w:type="dxa"/>
            <w:shd w:val="clear" w:color="auto" w:fill="EDF1F5"/>
          </w:tcPr>
          <w:p w14:paraId="7C5D44C9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承担章节 / 模块</w:t>
            </w:r>
          </w:p>
        </w:tc>
        <w:tc>
          <w:tcPr>
            <w:tcW w:w="3279" w:type="dxa"/>
            <w:shd w:val="clear" w:color="auto" w:fill="EDF1F5"/>
          </w:tcPr>
          <w:p w14:paraId="47C594A4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具体工作内容</w:t>
            </w:r>
          </w:p>
        </w:tc>
      </w:tr>
      <w:tr w14:paraId="3B694F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39" w:type="dxa"/>
          </w:tcPr>
          <w:p w14:paraId="75AAAE22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周泽林（组长）</w:t>
            </w:r>
          </w:p>
        </w:tc>
        <w:tc>
          <w:tcPr>
            <w:tcW w:w="1229" w:type="dxa"/>
          </w:tcPr>
          <w:p w14:paraId="401CDF46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25121595</w:t>
            </w:r>
          </w:p>
        </w:tc>
        <w:tc>
          <w:tcPr>
            <w:tcW w:w="2357" w:type="dxa"/>
          </w:tcPr>
          <w:p w14:paraId="1D7BA529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第 2—3 章；src/prepare.py、src/common.py</w:t>
            </w:r>
          </w:p>
        </w:tc>
        <w:tc>
          <w:tcPr>
            <w:tcW w:w="3279" w:type="dxa"/>
          </w:tcPr>
          <w:p w14:paraId="0135F195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字段拆分、类型转换、越界规则设计、长表转宽表与周期聚合；指标汇总；Git 仓库与分支管理</w:t>
            </w:r>
          </w:p>
        </w:tc>
      </w:tr>
      <w:tr w14:paraId="5C345B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39" w:type="dxa"/>
          </w:tcPr>
          <w:p w14:paraId="05FDE713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郭德宇</w:t>
            </w:r>
          </w:p>
        </w:tc>
        <w:tc>
          <w:tcPr>
            <w:tcW w:w="1229" w:type="dxa"/>
          </w:tcPr>
          <w:p w14:paraId="6C3AB6D3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25121590</w:t>
            </w:r>
          </w:p>
        </w:tc>
        <w:tc>
          <w:tcPr>
            <w:tcW w:w="2357" w:type="dxa"/>
          </w:tcPr>
          <w:p w14:paraId="7C7D1E4C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第 4—5 章；src/eda.py、src/alarm.py</w:t>
            </w:r>
          </w:p>
        </w:tc>
        <w:tc>
          <w:tcPr>
            <w:tcW w:w="3279" w:type="dxa"/>
          </w:tcPr>
          <w:p w14:paraId="04FC3A65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运行过程还原、设备画像对比、相关性分析、告警语义反推与片段划分；图表设计</w:t>
            </w:r>
          </w:p>
        </w:tc>
      </w:tr>
      <w:tr w14:paraId="6F3FE05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39" w:type="dxa"/>
          </w:tcPr>
          <w:p w14:paraId="7354A528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钟子恒</w:t>
            </w:r>
          </w:p>
        </w:tc>
        <w:tc>
          <w:tcPr>
            <w:tcW w:w="1229" w:type="dxa"/>
          </w:tcPr>
          <w:p w14:paraId="5715DB84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25121594</w:t>
            </w:r>
          </w:p>
        </w:tc>
        <w:tc>
          <w:tcPr>
            <w:tcW w:w="2357" w:type="dxa"/>
          </w:tcPr>
          <w:p w14:paraId="267AE880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第 6—7 章；src/model.py、src/build_report.py、src/build_ppt.py</w:t>
            </w:r>
          </w:p>
        </w:tc>
        <w:tc>
          <w:tcPr>
            <w:tcW w:w="3279" w:type="dxa"/>
          </w:tcPr>
          <w:p w14:paraId="0A8392FD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四组建模实验、评估指标与混淆矩阵、报告排版与汇报材料制作</w:t>
            </w:r>
          </w:p>
        </w:tc>
      </w:tr>
    </w:tbl>
    <w:p w14:paraId="6690A4E9">
      <w:pPr>
        <w:spacing w:after="40"/>
      </w:pPr>
    </w:p>
    <w:p w14:paraId="0561F357">
      <w:pPr>
        <w:pStyle w:val="3"/>
        <w:spacing w:before="200" w:after="100" w:line="336" w:lineRule="auto"/>
      </w:pPr>
      <w:bookmarkStart w:id="41" w:name="_Toc6008"/>
      <w:r>
        <w:rPr>
          <w:rFonts w:ascii="黑体" w:hAnsi="黑体" w:eastAsia="黑体"/>
          <w:b/>
          <w:sz w:val="25"/>
        </w:rPr>
        <w:t>8.2  个人承担说明</w:t>
      </w:r>
      <w:bookmarkEnd w:id="41"/>
    </w:p>
    <w:p w14:paraId="1AC553C0">
      <w:pPr>
        <w:spacing w:before="120" w:after="60" w:line="336" w:lineRule="auto"/>
      </w:pPr>
      <w:r>
        <w:rPr>
          <w:rFonts w:ascii="黑体" w:hAnsi="黑体" w:eastAsia="黑体"/>
          <w:b/>
          <w:sz w:val="24"/>
        </w:rPr>
        <w:t>周泽林（组长）：数据工程与清洗</w:t>
      </w:r>
    </w:p>
    <w:p w14:paraId="142A73AA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我负责数据清洗与规整模块。分析思路是先给数据“体检”再动手：先统计缺失、重复、变量记录量与取值样例，发现 timeMili 缺失 70%、定位是复合字符串、存在错标变量这三个关键问题，再据此确定清洗顺序。方法上采取“可疑值置空而不整行删除”，因为同一时间戳内其他变量的信息仍然有效，整行删除会进一步加剧数据稀疏。遇到的主要问题有三：一是 pandas 读取时把 timestamp 解析成混合格式，批量转换报错，改为 format='mixed' 逐条推断后解决；二是长表透视后 52 列中绝大多数为空，直接前向填充会把熄火后的旧值带到第二天，因此限定“同设备内、最多 12 步”；三是车-NAB0gBAQ 的定位全部无效，一度被误判为清洗规则过严，后来分设备统计零值比例（81.4% vs 1.9%/9.5%）才确认是设备故障，并据此调整了分析子集。</w:t>
      </w:r>
    </w:p>
    <w:p w14:paraId="67801E39">
      <w:pPr>
        <w:spacing w:before="120" w:after="60" w:line="336" w:lineRule="auto"/>
      </w:pPr>
      <w:r>
        <w:rPr>
          <w:rFonts w:ascii="黑体" w:hAnsi="黑体" w:eastAsia="黑体"/>
          <w:b/>
          <w:sz w:val="24"/>
        </w:rPr>
        <w:t>郭德宇：探索分析与告警分析</w:t>
      </w:r>
    </w:p>
    <w:p w14:paraId="0105BEC7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我负责探索性分析与告警分析模块。分析思路上，先回答“车辆在做什么”，再回答“告警是什么”。前者用单日时序还原与工况分档（熄火/怠速/低/中/高速）刻画三台车的画像；后者意识到告警标签是附着在单条读数上的，因此放弃“按整车状态解释告警”的思路，改为“把标签还原到触发它的那条读数”，统计该变量在该类别下的取值分布，从而反推出阈值区间。遇到的问题主要是告警语义未知：最初按“故障码”理解，发现 48% 的读数都带告警，明显不合理；改用读数级分布后才确认它是驾驶行为分级。另一个问题是告警片段划分的阈值选择，尝试 30 秒、2 分钟、5 分钟三档后，2 分钟既能合并不稳定抖动又不至于把两次独立事件并成一段，故采用。</w:t>
      </w:r>
    </w:p>
    <w:p w14:paraId="35991071">
      <w:pPr>
        <w:spacing w:before="120" w:after="60" w:line="336" w:lineRule="auto"/>
      </w:pPr>
      <w:r>
        <w:rPr>
          <w:rFonts w:ascii="黑体" w:hAnsi="黑体" w:eastAsia="黑体"/>
          <w:b/>
          <w:sz w:val="24"/>
        </w:rPr>
        <w:t>钟子恒：建模评估与报告呈现</w:t>
      </w:r>
    </w:p>
    <w:p w14:paraId="4128BA0D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我负责建模评估与报告/汇报材料。思路是“不只追求指标，而是检验指标意味着什么”，因此设计了四组实验：基准对比、特征消融、留一设备泛化、提前预警。为避免数据泄漏，逻辑回归的标准化在训练集上拟合，窗口级样本按时间前 70% 训练后 30% 测试；读数级的变量内 z-score、最大归一化与缺失值中位数填充都属于无监督统计量，当前在全量上计算（严格做法应在训练折内完成，这是本文的可改进点）。遇到的问题：最初把所有特征（含 50 维变量 one-hot）直接喂给逻辑回归，宏 F1 只有 0.41，定位到是没有标准化、且类别不均衡导致系数偏移，加入 StandardScaler 与 class_weight='balanced' 后 提升到 0.90；另外提前预警实验最初把“未来 10 分钟出现任意告警”作为标签，正类占比高达 81%，模型退化为“全预测为正”，改为“未来出现新的类别 4 片段起点”后才有意义（正类 23.7%）。这部分工作也让我认识到：指标好看不等于模型有用，泛化能力才是落地前提。</w:t>
      </w:r>
    </w:p>
    <w:p w14:paraId="406985F9">
      <w:pPr>
        <w:pStyle w:val="2"/>
        <w:spacing w:before="280" w:after="160" w:line="336" w:lineRule="auto"/>
      </w:pPr>
      <w:bookmarkStart w:id="42" w:name="_Toc32313"/>
      <w:r>
        <w:rPr>
          <w:rFonts w:ascii="黑体" w:hAnsi="黑体" w:eastAsia="黑体"/>
          <w:b w:val="0"/>
          <w:sz w:val="28"/>
        </w:rPr>
        <w:t>9. 附录</w:t>
      </w:r>
      <w:bookmarkEnd w:id="42"/>
    </w:p>
    <w:p w14:paraId="04494D2F">
      <w:pPr>
        <w:pStyle w:val="3"/>
        <w:spacing w:before="200" w:after="100" w:line="336" w:lineRule="auto"/>
      </w:pPr>
      <w:bookmarkStart w:id="43" w:name="_Toc5324"/>
      <w:r>
        <w:rPr>
          <w:rFonts w:ascii="黑体" w:hAnsi="黑体" w:eastAsia="黑体"/>
          <w:b/>
          <w:sz w:val="25"/>
        </w:rPr>
        <w:t>9.1  项目文件结构</w:t>
      </w:r>
      <w:bookmarkEnd w:id="43"/>
    </w:p>
    <w:p w14:paraId="51C760E3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项目文件结构见表 17，运行方式与仓库地址附于表后。</w:t>
      </w:r>
    </w:p>
    <w:p w14:paraId="78206F65">
      <w:pPr>
        <w:keepNext/>
        <w:keepLines/>
        <w:spacing w:before="160" w:after="60" w:line="276" w:lineRule="auto"/>
        <w:jc w:val="center"/>
      </w:pPr>
      <w:r>
        <w:rPr>
          <w:rFonts w:ascii="宋体" w:hAnsi="宋体" w:eastAsia="宋体"/>
          <w:b w:val="0"/>
          <w:sz w:val="21"/>
        </w:rPr>
        <w:t>表17  项目文件结构</w:t>
      </w:r>
    </w:p>
    <w:tbl>
      <w:tblPr>
        <w:tblStyle w:val="6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4"/>
        <w:gridCol w:w="4264"/>
      </w:tblGrid>
      <w:tr w14:paraId="06C936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534" w:type="dxa"/>
            <w:shd w:val="clear" w:color="auto" w:fill="EDF1F5"/>
          </w:tcPr>
          <w:p w14:paraId="170EF7F9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路径</w:t>
            </w:r>
          </w:p>
        </w:tc>
        <w:tc>
          <w:tcPr>
            <w:tcW w:w="4970" w:type="dxa"/>
            <w:shd w:val="clear" w:color="auto" w:fill="EDF1F5"/>
          </w:tcPr>
          <w:p w14:paraId="2A77D6B1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74C5CE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34" w:type="dxa"/>
          </w:tcPr>
          <w:p w14:paraId="4340E2A0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data/raw_vehicle_telemetry.csv</w:t>
            </w:r>
          </w:p>
        </w:tc>
        <w:tc>
          <w:tcPr>
            <w:tcW w:w="4970" w:type="dxa"/>
          </w:tcPr>
          <w:p w14:paraId="323224BE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原始数据（长表，173,853 行）</w:t>
            </w:r>
          </w:p>
        </w:tc>
      </w:tr>
      <w:tr w14:paraId="141B5B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34" w:type="dxa"/>
          </w:tcPr>
          <w:p w14:paraId="4FFADF9C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src/prepare.py</w:t>
            </w:r>
          </w:p>
        </w:tc>
        <w:tc>
          <w:tcPr>
            <w:tcW w:w="4970" w:type="dxa"/>
          </w:tcPr>
          <w:p w14:paraId="1DCF6AA5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清洗与规整（长表→宽表）、图 1—图 2</w:t>
            </w:r>
          </w:p>
        </w:tc>
      </w:tr>
      <w:tr w14:paraId="4DCF68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34" w:type="dxa"/>
          </w:tcPr>
          <w:p w14:paraId="6B253B34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src/eda.py</w:t>
            </w:r>
          </w:p>
        </w:tc>
        <w:tc>
          <w:tcPr>
            <w:tcW w:w="4970" w:type="dxa"/>
          </w:tcPr>
          <w:p w14:paraId="7E13149D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探索性分析、图 3—图 7</w:t>
            </w:r>
          </w:p>
        </w:tc>
      </w:tr>
      <w:tr w14:paraId="22DE32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34" w:type="dxa"/>
          </w:tcPr>
          <w:p w14:paraId="1986733F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src/alarm.py</w:t>
            </w:r>
          </w:p>
        </w:tc>
        <w:tc>
          <w:tcPr>
            <w:tcW w:w="4970" w:type="dxa"/>
          </w:tcPr>
          <w:p w14:paraId="08C3EAB8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告警识别与片段划分、图 8—图 13</w:t>
            </w:r>
          </w:p>
        </w:tc>
      </w:tr>
      <w:tr w14:paraId="522E2B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34" w:type="dxa"/>
          </w:tcPr>
          <w:p w14:paraId="6B99EB04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src/model.py</w:t>
            </w:r>
          </w:p>
        </w:tc>
        <w:tc>
          <w:tcPr>
            <w:tcW w:w="4970" w:type="dxa"/>
          </w:tcPr>
          <w:p w14:paraId="3A048EC6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四组建模实验、图 14—图 18</w:t>
            </w:r>
          </w:p>
        </w:tc>
      </w:tr>
      <w:tr w14:paraId="0F72A1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34" w:type="dxa"/>
          </w:tcPr>
          <w:p w14:paraId="21D9F7E4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src/build_report.py / build_ppt.py</w:t>
            </w:r>
          </w:p>
        </w:tc>
        <w:tc>
          <w:tcPr>
            <w:tcW w:w="4970" w:type="dxa"/>
          </w:tcPr>
          <w:p w14:paraId="5B57A0A2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生成本报告与汇报 PPT</w:t>
            </w:r>
          </w:p>
        </w:tc>
      </w:tr>
      <w:tr w14:paraId="753347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34" w:type="dxa"/>
          </w:tcPr>
          <w:p w14:paraId="0C90B04C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run_all.py</w:t>
            </w:r>
          </w:p>
        </w:tc>
        <w:tc>
          <w:tcPr>
            <w:tcW w:w="4970" w:type="dxa"/>
          </w:tcPr>
          <w:p w14:paraId="4FD7F292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一键执行全流程（约 1 分钟）</w:t>
            </w:r>
          </w:p>
        </w:tc>
      </w:tr>
      <w:tr w14:paraId="05FA49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34" w:type="dxa"/>
          </w:tcPr>
          <w:p w14:paraId="4C1BB073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output/metrics.json</w:t>
            </w:r>
          </w:p>
        </w:tc>
        <w:tc>
          <w:tcPr>
            <w:tcW w:w="4970" w:type="dxa"/>
          </w:tcPr>
          <w:p w14:paraId="0FF717FD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全部实验指标（正文数字均由此读取）</w:t>
            </w:r>
          </w:p>
        </w:tc>
      </w:tr>
      <w:tr w14:paraId="507FAE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34" w:type="dxa"/>
          </w:tcPr>
          <w:p w14:paraId="013182BF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figures/*.png</w:t>
            </w:r>
          </w:p>
        </w:tc>
        <w:tc>
          <w:tcPr>
            <w:tcW w:w="4970" w:type="dxa"/>
          </w:tcPr>
          <w:p w14:paraId="504211C1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报告插图（160 dpi）</w:t>
            </w:r>
          </w:p>
        </w:tc>
      </w:tr>
    </w:tbl>
    <w:p w14:paraId="52A245A5">
      <w:pPr>
        <w:spacing w:after="40"/>
      </w:pPr>
    </w:p>
    <w:p w14:paraId="30827106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运行环境：Python 3.14、pandas 3.0.3、NumPy 2.4.6、Matplotlib 3.10.9、scikit-learn 1.9.1、python-docx 1.2.0。复现命令：在项目根目录执行 python run_all.py。代码仓库：https://github.com/337437745-collab/vehicle_analysis。</w:t>
      </w:r>
    </w:p>
    <w:p w14:paraId="7CF04D04">
      <w:pPr>
        <w:pStyle w:val="3"/>
        <w:spacing w:before="200" w:after="100" w:line="336" w:lineRule="auto"/>
      </w:pPr>
      <w:bookmarkStart w:id="44" w:name="_Toc8572"/>
      <w:r>
        <w:rPr>
          <w:rFonts w:ascii="黑体" w:hAnsi="黑体" w:eastAsia="黑体"/>
          <w:b/>
          <w:sz w:val="25"/>
        </w:rPr>
        <w:t>9.2  主要代码片段</w:t>
      </w:r>
      <w:bookmarkEnd w:id="44"/>
    </w:p>
    <w:p w14:paraId="7464C735">
      <w:pPr>
        <w:spacing w:before="120" w:after="60" w:line="336" w:lineRule="auto"/>
      </w:pPr>
      <w:r>
        <w:rPr>
          <w:rFonts w:ascii="黑体" w:hAnsi="黑体" w:eastAsia="黑体"/>
          <w:b/>
          <w:sz w:val="24"/>
        </w:rPr>
        <w:t>(1) 定位字段拆分与时间解析（src/prepare.py）</w:t>
      </w:r>
    </w:p>
    <w:p w14:paraId="612AEC18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df["ts"] = pd.to_datetime(df["timestamp"], format="mixed", errors="coerce")</w:t>
      </w:r>
    </w:p>
    <w:p w14:paraId="6BCC5FD2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df["time_mili"] = df["ts"].astype("int64") // 10 ** 6        # 弃用缺失 70% 的原列</w:t>
      </w:r>
    </w:p>
    <w:p w14:paraId="55E04529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is_pos = df["variable"] == "POSITION"</w:t>
      </w:r>
    </w:p>
    <w:p w14:paraId="40FAA3D7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parts = df.loc[is_pos, "value"].str.split(",", expand=True)</w:t>
      </w:r>
    </w:p>
    <w:p w14:paraId="0FD82EB2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pos = pd.DataFrame({"deviceId": df.loc[is_pos, "deviceId"].values,</w:t>
      </w:r>
    </w:p>
    <w:p w14:paraId="366AA113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 xml:space="preserve">                    "ts": df.loc[is_pos, "ts"].values,</w:t>
      </w:r>
    </w:p>
    <w:p w14:paraId="57EC5E09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 xml:space="preserve">                    "lat": pd.to_numeric(parts[0], errors="coerce").values,</w:t>
      </w:r>
    </w:p>
    <w:p w14:paraId="1763EB24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 xml:space="preserve">                    "lon": pd.to_numeric(parts[1], errors="coerce").values,</w:t>
      </w:r>
    </w:p>
    <w:p w14:paraId="225B22BA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 xml:space="preserve">                    "alt": pd.to_numeric(parts[2], errors="coerce").values})</w:t>
      </w:r>
    </w:p>
    <w:p w14:paraId="31132E56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inv = (~pos["lat"].between(13.0, 13.8) | ~pos["lon"].between(74.5, 74.9)</w:t>
      </w:r>
    </w:p>
    <w:p w14:paraId="4999FC43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 xml:space="preserve">       | ~pos["alt"].between(-100, 2000))                    # 越界置空而非删行</w:t>
      </w:r>
    </w:p>
    <w:p w14:paraId="27A3415C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pos.loc[inv, ["lat", "lon", "alt"]] = np.nan</w:t>
      </w:r>
    </w:p>
    <w:p w14:paraId="24C765D4">
      <w:pPr>
        <w:spacing w:after="40"/>
      </w:pPr>
    </w:p>
    <w:p w14:paraId="0FE6D0B8">
      <w:pPr>
        <w:spacing w:before="120" w:after="60" w:line="336" w:lineRule="auto"/>
      </w:pPr>
      <w:r>
        <w:rPr>
          <w:rFonts w:ascii="黑体" w:hAnsi="黑体" w:eastAsia="黑体"/>
          <w:b/>
          <w:sz w:val="24"/>
        </w:rPr>
        <w:t>(2) 长表转宽表与多粒度聚合（src/prepare.py）</w:t>
      </w:r>
    </w:p>
    <w:p w14:paraId="411B9132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wide_ts = long.pivot_table(index=["deviceId", "ts"], columns="variable",</w:t>
      </w:r>
    </w:p>
    <w:p w14:paraId="49D92740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 xml:space="preserve">                           values="value", aggfunc="mean")</w:t>
      </w:r>
    </w:p>
    <w:p w14:paraId="09CC4081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wide_ts.columns = [slug(c) for c in wide_ts.columns]</w:t>
      </w:r>
    </w:p>
    <w:p w14:paraId="38E91BAD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cont = [slug(v) for v in CORE_VARS]</w:t>
      </w:r>
    </w:p>
    <w:p w14:paraId="4F922616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wide_ts[cont] = wide_ts.groupby("deviceId", group_keys=False)[cont].ffill(limit=12)</w:t>
      </w:r>
    </w:p>
    <w:p w14:paraId="1A6C62EF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 xml:space="preserve"> </w:t>
      </w:r>
    </w:p>
    <w:p w14:paraId="27F1BD6D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g = long.copy(); g["bin"] = g["ts"].dt.floor("1min")</w:t>
      </w:r>
    </w:p>
    <w:p w14:paraId="759C5082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w = g.pivot_table(index=["deviceId", "bin"], columns="variable",</w:t>
      </w:r>
    </w:p>
    <w:p w14:paraId="23029F54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 xml:space="preserve">                  values="value", aggfunc="mean")               # 分钟级均值</w:t>
      </w:r>
    </w:p>
    <w:p w14:paraId="554B571E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mx = g.pivot_table(index=["deviceId", "bin"], columns="variable",</w:t>
      </w:r>
    </w:p>
    <w:p w14:paraId="3356975B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 xml:space="preserve">                   values="value", aggfunc="max")               # 分钟级极值</w:t>
      </w:r>
    </w:p>
    <w:p w14:paraId="41A106FE">
      <w:pPr>
        <w:spacing w:after="40"/>
      </w:pPr>
    </w:p>
    <w:p w14:paraId="394D8948">
      <w:pPr>
        <w:spacing w:before="120" w:after="60" w:line="336" w:lineRule="auto"/>
      </w:pPr>
      <w:r>
        <w:rPr>
          <w:rFonts w:ascii="黑体" w:hAnsi="黑体" w:eastAsia="黑体"/>
          <w:b/>
          <w:sz w:val="24"/>
        </w:rPr>
        <w:t>(3) 告警片段划分（src/alarm.py）</w:t>
      </w:r>
    </w:p>
    <w:p w14:paraId="24929F3B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e = al[["deviceId", "ts", "alarm"]].sort_values(["deviceId", "alarm", "ts"]).copy()</w:t>
      </w:r>
    </w:p>
    <w:p w14:paraId="4DF53C90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e["gap"] = e.groupby(["deviceId", "alarm"])["ts"].diff().dt.total_seconds()</w:t>
      </w:r>
    </w:p>
    <w:p w14:paraId="59C5A622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e["new"] = (e["gap"].isna()) | (e["gap"] &gt; 120)                 # 间隔 &gt;2 分钟视为新片段</w:t>
      </w:r>
    </w:p>
    <w:p w14:paraId="78B6EE02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e["ep"] = e.groupby(["deviceId", "alarm"])["new"].cumsum()</w:t>
      </w:r>
    </w:p>
    <w:p w14:paraId="613E3942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epi = (e.groupby(["deviceId", "alarm", "ep"])</w:t>
      </w:r>
    </w:p>
    <w:p w14:paraId="255D6330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 xml:space="preserve">        .agg(start=("ts", "min"), end=("ts", "max"), n=("ts", "size")).reset_index())</w:t>
      </w:r>
    </w:p>
    <w:p w14:paraId="2691A613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epi["dur_min"] = (epi["end"] - epi["start"]).dt.total_seconds() / 60</w:t>
      </w:r>
    </w:p>
    <w:p w14:paraId="51915822">
      <w:pPr>
        <w:spacing w:after="40"/>
      </w:pPr>
    </w:p>
    <w:p w14:paraId="613AE279">
      <w:pPr>
        <w:spacing w:before="120" w:after="60" w:line="336" w:lineRule="auto"/>
      </w:pPr>
      <w:r>
        <w:rPr>
          <w:rFonts w:ascii="黑体" w:hAnsi="黑体" w:eastAsia="黑体"/>
          <w:b/>
          <w:sz w:val="24"/>
        </w:rPr>
        <w:t>(4) 读数级特征构造与建模（src/model.py）</w:t>
      </w:r>
    </w:p>
    <w:p w14:paraId="1DA6DAD0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g = long.groupby("variable")["value"]</w:t>
      </w:r>
    </w:p>
    <w:p w14:paraId="3C40BCCD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long["value_z"] = (long["value"] - g.transform("mean")) / g.transform("std")</w:t>
      </w:r>
    </w:p>
    <w:p w14:paraId="2B794741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long["value_rank"] = g.rank(pct=True)                           # 变量内百分位</w:t>
      </w:r>
    </w:p>
    <w:p w14:paraId="6B4B19FA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X = pd.concat([long[["value_z", "value_rank"]],</w:t>
      </w:r>
    </w:p>
    <w:p w14:paraId="76666109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 xml:space="preserve">               pd.get_dummies(long["variable"], prefix="var", dtype=float),</w:t>
      </w:r>
    </w:p>
    <w:p w14:paraId="79687DCF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 xml:space="preserve">               ctx[ctx_cols]], axis=1).astype("float32")</w:t>
      </w:r>
    </w:p>
    <w:p w14:paraId="1D465042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Xtr, Xte, ytr, yte = train_test_split(X, y, test_size=0.3,</w:t>
      </w:r>
    </w:p>
    <w:p w14:paraId="132984DB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 xml:space="preserve">                                      random_state=42, stratify=y)</w:t>
      </w:r>
    </w:p>
    <w:p w14:paraId="4DCBA63D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clf = HistGradientBoostingClassifier(max_iter=200, learning_rate=0.1).fit(Xtr, ytr)</w:t>
      </w:r>
    </w:p>
    <w:p w14:paraId="1B4E7DC2">
      <w:pPr>
        <w:spacing w:after="40"/>
      </w:pPr>
    </w:p>
    <w:p w14:paraId="73BDEE47">
      <w:pPr>
        <w:spacing w:before="120" w:after="60" w:line="336" w:lineRule="auto"/>
      </w:pPr>
      <w:r>
        <w:rPr>
          <w:rFonts w:ascii="黑体" w:hAnsi="黑体" w:eastAsia="黑体"/>
          <w:b/>
          <w:sz w:val="24"/>
        </w:rPr>
        <w:t>(5) 提前预警的标签构造（src/model.py）</w:t>
      </w:r>
    </w:p>
    <w:p w14:paraId="19FF1376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al = long[long["alarm"] == 4].sort_values(["deviceId", "ts"])</w:t>
      </w:r>
    </w:p>
    <w:p w14:paraId="192D5E0E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al["gap"] = al.groupby("deviceId")["ts"].diff().dt.total_seconds()</w:t>
      </w:r>
    </w:p>
    <w:p w14:paraId="01BCEFDB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starts = {k: np.sort(v.unique()).astype("datetime64[s]").astype("int64")</w:t>
      </w:r>
    </w:p>
    <w:p w14:paraId="24121EE6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 xml:space="preserve">          for k, v in al[(al["gap"].isna()) | (al["gap"] &gt; 120)].groupby("deviceId")["ts"]}</w:t>
      </w:r>
    </w:p>
    <w:p w14:paraId="491381C8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# 每个采样时刻 t0：未来 600 s 内是否出现新的片段起点</w:t>
      </w:r>
    </w:p>
    <w:p w14:paraId="770932BD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nxt = np.where(idx &lt; len(e), e[np.clip(idx, 0, len(e) - 1)], 2 ** 62)</w:t>
      </w:r>
    </w:p>
    <w:p w14:paraId="5403110F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r["label"] = (nxt &lt;= t0 + 600).astype(int)</w:t>
      </w:r>
    </w:p>
    <w:p w14:paraId="7E76D2D3">
      <w:pPr>
        <w:spacing w:after="40"/>
      </w:pPr>
    </w:p>
    <w:p w14:paraId="00CEE5F9">
      <w:pPr>
        <w:spacing w:before="120" w:after="60" w:line="336" w:lineRule="auto"/>
      </w:pPr>
      <w:r>
        <w:rPr>
          <w:rFonts w:ascii="黑体" w:hAnsi="黑体" w:eastAsia="黑体"/>
          <w:b/>
          <w:sz w:val="24"/>
        </w:rPr>
        <w:t>(6) 5 分钟窗口聚合与告警标签（src/prepare.py）</w:t>
      </w:r>
    </w:p>
    <w:p w14:paraId="512F032E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g["bin"] = g["ts"].dt.floor("5min")</w:t>
      </w:r>
    </w:p>
    <w:p w14:paraId="7B1E9AE4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w = g.pivot_table(index=["deviceId", "bin"], columns="variable",</w:t>
      </w:r>
    </w:p>
    <w:p w14:paraId="25245846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 xml:space="preserve">                  values="value", aggfunc="mean")          # 窗口均值</w:t>
      </w:r>
    </w:p>
    <w:p w14:paraId="2CA645E9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lab = (g.assign(one=1)</w:t>
      </w:r>
    </w:p>
    <w:p w14:paraId="213FAB6D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 xml:space="preserve">        .pivot_table(index=["deviceId", "bin"], columns="alarm", values="one",</w:t>
      </w:r>
    </w:p>
    <w:p w14:paraId="3D156DDF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 xml:space="preserve">                     aggfunc="size", fill_value=0)             # 各类别是否出现</w:t>
      </w:r>
    </w:p>
    <w:p w14:paraId="50A069C7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 xml:space="preserve">        .rename(columns=lambda c: f"alarm_c{int(c)}"))</w:t>
      </w:r>
    </w:p>
    <w:p w14:paraId="23E46CC1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lab["alarm_any"] = (lab[[f"alarm_c{c}" for c in range(1, 6)]].sum(axis=1) &gt; 0).astype(int)</w:t>
      </w:r>
    </w:p>
    <w:p w14:paraId="0F66E0B6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w = w.join(lab).reset_index()</w:t>
      </w:r>
    </w:p>
    <w:p w14:paraId="715A6A55">
      <w:pPr>
        <w:spacing w:after="40"/>
      </w:pPr>
    </w:p>
    <w:p w14:paraId="31EEFFF2">
      <w:pPr>
        <w:spacing w:before="120" w:after="60" w:line="336" w:lineRule="auto"/>
      </w:pPr>
      <w:r>
        <w:rPr>
          <w:rFonts w:ascii="黑体" w:hAnsi="黑体" w:eastAsia="黑体"/>
          <w:b/>
          <w:sz w:val="24"/>
        </w:rPr>
        <w:t>(7) 3σ 异常与告警一致性检验（src/model.py）</w:t>
      </w:r>
    </w:p>
    <w:p w14:paraId="6F9504D4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for var in ["Vehicle speed", "ENGINE RPM", "ACCELERATION X", "ACCELERATION Y"]:</w:t>
      </w:r>
    </w:p>
    <w:p w14:paraId="03A99B5D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 xml:space="preserve">    s = df.loc[df["variable"] == var, ["value", "alarm"]].dropna(subset=["value"])</w:t>
      </w:r>
    </w:p>
    <w:p w14:paraId="057092B8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 xml:space="preserve">    mu, sd = s["value"].mean(), s["value"].std()</w:t>
      </w:r>
    </w:p>
    <w:p w14:paraId="601D2CA2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 xml:space="preserve">    flag = (s["value"] - mu).abs() &gt; 3 * sd                   # 统计异常</w:t>
      </w:r>
    </w:p>
    <w:p w14:paraId="20824C61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alarm_flag = s["alarm"] &gt; 0                                 # 业务告警</w:t>
      </w:r>
    </w:p>
    <w:p w14:paraId="3535B2AF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tp = (flag &amp; alarm_flag).sum()</w:t>
      </w:r>
    </w:p>
    <w:p w14:paraId="2A66815E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precision = tp / flag.sum()                                  # 精确率（常高）</w:t>
      </w:r>
    </w:p>
    <w:p w14:paraId="5BC4893B">
      <w:pPr>
        <w:shd w:val="clear" w:fill="F5F7FA"/>
        <w:spacing w:before="0" w:after="0" w:line="252" w:lineRule="auto"/>
        <w:ind w:left="340"/>
      </w:pPr>
      <w:r>
        <w:rPr>
          <w:rFonts w:ascii="Consolas" w:hAnsi="Consolas" w:eastAsia="Consolas"/>
          <w:b w:val="0"/>
          <w:sz w:val="17"/>
        </w:rPr>
        <w:t>recall = tp / alarm_flag.sum()                               # 召回率（常极低）</w:t>
      </w:r>
    </w:p>
    <w:p w14:paraId="2993474C">
      <w:pPr>
        <w:spacing w:after="40"/>
      </w:pPr>
    </w:p>
    <w:p w14:paraId="3647CF04">
      <w:pPr>
        <w:pStyle w:val="3"/>
        <w:spacing w:before="200" w:after="100" w:line="336" w:lineRule="auto"/>
      </w:pPr>
      <w:bookmarkStart w:id="45" w:name="_Toc14175"/>
      <w:r>
        <w:rPr>
          <w:rFonts w:ascii="黑体" w:hAnsi="黑体" w:eastAsia="黑体"/>
          <w:b/>
          <w:sz w:val="25"/>
        </w:rPr>
        <w:t>9.3  关键指标汇总</w:t>
      </w:r>
      <w:bookmarkEnd w:id="45"/>
    </w:p>
    <w:p w14:paraId="7E776E09">
      <w:pPr>
        <w:spacing w:before="0" w:after="0" w:line="360" w:lineRule="auto"/>
        <w:ind w:firstLine="480" w:firstLineChars="200"/>
        <w:jc w:val="both"/>
      </w:pPr>
      <w:r>
        <w:rPr>
          <w:rFonts w:ascii="宋体" w:hAnsi="宋体" w:eastAsia="宋体"/>
          <w:b w:val="0"/>
          <w:sz w:val="24"/>
        </w:rPr>
        <w:t>全文涉及的关键指标汇总见表 18。</w:t>
      </w:r>
    </w:p>
    <w:p w14:paraId="42A5546D">
      <w:pPr>
        <w:keepNext/>
        <w:keepLines/>
        <w:spacing w:before="160" w:after="60" w:line="276" w:lineRule="auto"/>
        <w:jc w:val="center"/>
      </w:pPr>
      <w:r>
        <w:rPr>
          <w:rFonts w:ascii="宋体" w:hAnsi="宋体" w:eastAsia="宋体"/>
          <w:b w:val="0"/>
          <w:sz w:val="21"/>
        </w:rPr>
        <w:t>表18  关键指标汇总</w:t>
      </w:r>
    </w:p>
    <w:tbl>
      <w:tblPr>
        <w:tblStyle w:val="6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4"/>
        <w:gridCol w:w="4264"/>
      </w:tblGrid>
      <w:tr w14:paraId="694C85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837" w:type="dxa"/>
            <w:shd w:val="clear" w:color="auto" w:fill="EDF1F5"/>
          </w:tcPr>
          <w:p w14:paraId="032B4142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指标</w:t>
            </w:r>
          </w:p>
        </w:tc>
        <w:tc>
          <w:tcPr>
            <w:tcW w:w="4667" w:type="dxa"/>
            <w:shd w:val="clear" w:color="auto" w:fill="EDF1F5"/>
          </w:tcPr>
          <w:p w14:paraId="7CBCCFE5">
            <w:pPr>
              <w:spacing w:before="30" w:after="3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数值</w:t>
            </w:r>
          </w:p>
        </w:tc>
      </w:tr>
      <w:tr w14:paraId="107E2D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37" w:type="dxa"/>
          </w:tcPr>
          <w:p w14:paraId="454D1679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原始记录 / 变量 / 设备</w:t>
            </w:r>
          </w:p>
        </w:tc>
        <w:tc>
          <w:tcPr>
            <w:tcW w:w="4667" w:type="dxa"/>
          </w:tcPr>
          <w:p w14:paraId="52F08F93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173,853 / 52 / 3</w:t>
            </w:r>
          </w:p>
        </w:tc>
      </w:tr>
      <w:tr w14:paraId="64C571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37" w:type="dxa"/>
          </w:tcPr>
          <w:p w14:paraId="618C1769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清洗后有效读数</w:t>
            </w:r>
          </w:p>
        </w:tc>
        <w:tc>
          <w:tcPr>
            <w:tcW w:w="4667" w:type="dxa"/>
          </w:tcPr>
          <w:p w14:paraId="41D8E481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83,359</w:t>
            </w:r>
          </w:p>
        </w:tc>
      </w:tr>
      <w:tr w14:paraId="41E7F4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37" w:type="dxa"/>
          </w:tcPr>
          <w:p w14:paraId="1C15F57D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有效定位点</w:t>
            </w:r>
          </w:p>
        </w:tc>
        <w:tc>
          <w:tcPr>
            <w:tcW w:w="4667" w:type="dxa"/>
          </w:tcPr>
          <w:p w14:paraId="1EA38F0E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79,838</w:t>
            </w:r>
          </w:p>
        </w:tc>
      </w:tr>
      <w:tr w14:paraId="2EADE7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37" w:type="dxa"/>
          </w:tcPr>
          <w:p w14:paraId="7DF24F14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时间戳级宽表</w:t>
            </w:r>
          </w:p>
        </w:tc>
        <w:tc>
          <w:tcPr>
            <w:tcW w:w="4667" w:type="dxa"/>
          </w:tcPr>
          <w:p w14:paraId="000B0C70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18,532 行 × 52 列（填充率 9.0%）</w:t>
            </w:r>
          </w:p>
        </w:tc>
      </w:tr>
      <w:tr w14:paraId="7A1E2F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37" w:type="dxa"/>
          </w:tcPr>
          <w:p w14:paraId="02DA1F80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 min / 5 min 聚合宽表</w:t>
            </w:r>
          </w:p>
        </w:tc>
        <w:tc>
          <w:tcPr>
            <w:tcW w:w="4667" w:type="dxa"/>
          </w:tcPr>
          <w:p w14:paraId="68B41108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6,201 / 1,410 行</w:t>
            </w:r>
          </w:p>
        </w:tc>
      </w:tr>
      <w:tr w14:paraId="49A138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37" w:type="dxa"/>
          </w:tcPr>
          <w:p w14:paraId="066D0322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告警片段数</w:t>
            </w:r>
          </w:p>
        </w:tc>
        <w:tc>
          <w:tcPr>
            <w:tcW w:w="4667" w:type="dxa"/>
          </w:tcPr>
          <w:p w14:paraId="1DB24DAA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1,078 段</w:t>
            </w:r>
          </w:p>
        </w:tc>
      </w:tr>
      <w:tr w14:paraId="435CD0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37" w:type="dxa"/>
          </w:tcPr>
          <w:p w14:paraId="736B9AE6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最优分类模型</w:t>
            </w:r>
          </w:p>
        </w:tc>
        <w:tc>
          <w:tcPr>
            <w:tcW w:w="4667" w:type="dxa"/>
          </w:tcPr>
          <w:p w14:paraId="5EC0D2A1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直方图梯度提升，宏 F1 0.9923</w:t>
            </w:r>
          </w:p>
        </w:tc>
      </w:tr>
      <w:tr w14:paraId="6BD6507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37" w:type="dxa"/>
          </w:tcPr>
          <w:p w14:paraId="45C47B6C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留一设备宏 F1 区间</w:t>
            </w:r>
          </w:p>
        </w:tc>
        <w:tc>
          <w:tcPr>
            <w:tcW w:w="4667" w:type="dxa"/>
          </w:tcPr>
          <w:p w14:paraId="548190F5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0.53—0.66</w:t>
            </w:r>
          </w:p>
        </w:tc>
      </w:tr>
      <w:tr w14:paraId="562886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37" w:type="dxa"/>
          </w:tcPr>
          <w:p w14:paraId="0BAF3F11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提前预警最优 AUC</w:t>
            </w:r>
          </w:p>
        </w:tc>
        <w:tc>
          <w:tcPr>
            <w:tcW w:w="4667" w:type="dxa"/>
          </w:tcPr>
          <w:p w14:paraId="42D3B9CA">
            <w:pPr>
              <w:spacing w:before="30" w:after="30" w:line="264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0.7327（逻辑回归）</w:t>
            </w:r>
          </w:p>
        </w:tc>
      </w:tr>
    </w:tbl>
    <w:p w14:paraId="351971EF">
      <w:pPr>
        <w:spacing w:after="40"/>
      </w:pPr>
    </w:p>
    <w:p w14:paraId="37AAB9ED">
      <w:pPr>
        <w:pStyle w:val="3"/>
        <w:spacing w:before="200" w:after="100" w:line="336" w:lineRule="auto"/>
      </w:pPr>
      <w:bookmarkStart w:id="46" w:name="_Toc31309"/>
      <w:r>
        <w:rPr>
          <w:rFonts w:ascii="黑体" w:hAnsi="黑体" w:eastAsia="黑体"/>
          <w:b/>
          <w:sz w:val="25"/>
        </w:rPr>
        <w:t>9.4  参考文献</w:t>
      </w:r>
      <w:bookmarkEnd w:id="46"/>
    </w:p>
    <w:p w14:paraId="0D858ED2">
      <w:pPr>
        <w:spacing w:after="0" w:line="336" w:lineRule="auto"/>
        <w:ind w:left="482" w:hanging="482"/>
      </w:pPr>
      <w:r>
        <w:rPr>
          <w:rFonts w:ascii="宋体" w:hAnsi="宋体" w:eastAsia="宋体"/>
          <w:b w:val="0"/>
          <w:sz w:val="21"/>
        </w:rPr>
        <w:t>[1] 张伟, 李明. 基于车联网数据的驾驶行为分析与风险评估[J]. 汽车工程, 2021, 43(8): 1201-1209.</w:t>
      </w:r>
    </w:p>
    <w:p w14:paraId="75F162D0">
      <w:pPr>
        <w:spacing w:after="0" w:line="336" w:lineRule="auto"/>
        <w:ind w:left="482" w:hanging="482"/>
      </w:pPr>
      <w:r>
        <w:rPr>
          <w:rFonts w:ascii="宋体" w:hAnsi="宋体" w:eastAsia="宋体"/>
          <w:b w:val="0"/>
          <w:sz w:val="21"/>
        </w:rPr>
        <w:t>[2] Chen L, Zhang Y, et al. Driving behavior recognition using OBD-II data and machine learning[J]. IEEE Access, 2020, 8: 112345-112356.</w:t>
      </w:r>
    </w:p>
    <w:p w14:paraId="26B59880">
      <w:pPr>
        <w:spacing w:after="0" w:line="336" w:lineRule="auto"/>
        <w:ind w:left="482" w:hanging="482"/>
      </w:pPr>
      <w:r>
        <w:rPr>
          <w:rFonts w:ascii="宋体" w:hAnsi="宋体" w:eastAsia="宋体"/>
          <w:b w:val="0"/>
          <w:sz w:val="21"/>
        </w:rPr>
        <w:t>[3] Breiman L. Random Forests[J]. Machine Learning, 2001, 45(1): 5-32.</w:t>
      </w:r>
    </w:p>
    <w:p w14:paraId="2CB36E34">
      <w:pPr>
        <w:spacing w:after="0" w:line="336" w:lineRule="auto"/>
        <w:ind w:left="482" w:hanging="482"/>
      </w:pPr>
      <w:r>
        <w:rPr>
          <w:rFonts w:ascii="宋体" w:hAnsi="宋体" w:eastAsia="宋体"/>
          <w:b w:val="0"/>
          <w:sz w:val="21"/>
        </w:rPr>
        <w:t>[4] McKinney W. Python for Data Analysis (3rd ed.)[M]. O'Reilly Media, 2022.</w:t>
      </w:r>
    </w:p>
    <w:p w14:paraId="2375DACE">
      <w:pPr>
        <w:spacing w:after="0" w:line="336" w:lineRule="auto"/>
        <w:ind w:left="482" w:hanging="482"/>
      </w:pPr>
      <w:r>
        <w:rPr>
          <w:rFonts w:ascii="宋体" w:hAnsi="宋体" w:eastAsia="宋体"/>
          <w:b w:val="0"/>
          <w:sz w:val="21"/>
        </w:rPr>
        <w:t>[5] scikit-learn developers. scikit-learn User Guide (v1.9)[EB/OL]. https://scikit-learn.org, 2025.</w:t>
      </w:r>
    </w:p>
    <w:sectPr>
      <w:footerReference r:id="rId3" w:type="default"/>
      <w:pgSz w:w="11906" w:h="16838"/>
      <w:pgMar w:top="1383" w:right="1689" w:bottom="1383" w:left="1689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黑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5011E3">
    <w:pPr>
      <w:jc w:val="center"/>
    </w:pPr>
    <w:r>
      <w:rPr>
        <w:rFonts w:ascii="宋体" w:hAnsi="宋体" w:eastAsia="宋体"/>
        <w:b w:val="0"/>
        <w:sz w:val="18"/>
      </w:rPr>
      <w:fldChar w:fldCharType="begin"/>
    </w:r>
    <w:r>
      <w:rPr>
        <w:rFonts w:ascii="宋体" w:hAnsi="宋体" w:eastAsia="宋体"/>
        <w:b w:val="0"/>
        <w:sz w:val="18"/>
      </w:rPr>
      <w:instrText xml:space="preserve"> PAGE </w:instrText>
    </w:r>
    <w:r>
      <w:rPr>
        <w:rFonts w:ascii="宋体" w:hAnsi="宋体" w:eastAsia="宋体"/>
        <w:b w:val="0"/>
        <w:sz w:val="18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Q5NWMxMTE3ZmIyNTBmYjI1YzhlNTdmZGEyOGMxNDAifQ=="/>
  </w:docVars>
  <w:rsids>
    <w:rsidRoot w:val="00351011"/>
    <w:rsid w:val="00282E78"/>
    <w:rsid w:val="00337920"/>
    <w:rsid w:val="00351011"/>
    <w:rsid w:val="005A7809"/>
    <w:rsid w:val="006F30B3"/>
    <w:rsid w:val="007E4B7D"/>
    <w:rsid w:val="008C5B3E"/>
    <w:rsid w:val="00F14FFB"/>
    <w:rsid w:val="00F75F56"/>
    <w:rsid w:val="01C012ED"/>
    <w:rsid w:val="01DE014A"/>
    <w:rsid w:val="034B75FA"/>
    <w:rsid w:val="03BE23E8"/>
    <w:rsid w:val="05F07A1A"/>
    <w:rsid w:val="05FD583C"/>
    <w:rsid w:val="06861614"/>
    <w:rsid w:val="06B70A60"/>
    <w:rsid w:val="07661D70"/>
    <w:rsid w:val="07A52747"/>
    <w:rsid w:val="082423E8"/>
    <w:rsid w:val="09233F8B"/>
    <w:rsid w:val="094620D8"/>
    <w:rsid w:val="0ADB4586"/>
    <w:rsid w:val="0BF46A19"/>
    <w:rsid w:val="0FBE7527"/>
    <w:rsid w:val="10D83AF0"/>
    <w:rsid w:val="11E903EC"/>
    <w:rsid w:val="14E867D0"/>
    <w:rsid w:val="16EA6A56"/>
    <w:rsid w:val="18966244"/>
    <w:rsid w:val="190478B9"/>
    <w:rsid w:val="1CE33686"/>
    <w:rsid w:val="1E635FE8"/>
    <w:rsid w:val="242D4168"/>
    <w:rsid w:val="26CD1C32"/>
    <w:rsid w:val="2706213A"/>
    <w:rsid w:val="271909D4"/>
    <w:rsid w:val="289522DC"/>
    <w:rsid w:val="2CF464AD"/>
    <w:rsid w:val="2FC55B4A"/>
    <w:rsid w:val="301D3F44"/>
    <w:rsid w:val="30711881"/>
    <w:rsid w:val="30D87E73"/>
    <w:rsid w:val="320A164D"/>
    <w:rsid w:val="32E96838"/>
    <w:rsid w:val="336244FF"/>
    <w:rsid w:val="344341B0"/>
    <w:rsid w:val="35570365"/>
    <w:rsid w:val="35FE28F4"/>
    <w:rsid w:val="387604B3"/>
    <w:rsid w:val="3B1D2375"/>
    <w:rsid w:val="3C1D1103"/>
    <w:rsid w:val="41DB6CE1"/>
    <w:rsid w:val="43881B76"/>
    <w:rsid w:val="445608A7"/>
    <w:rsid w:val="45273C26"/>
    <w:rsid w:val="473553A2"/>
    <w:rsid w:val="47EF644C"/>
    <w:rsid w:val="488D4D74"/>
    <w:rsid w:val="48EE31A5"/>
    <w:rsid w:val="49AC4C71"/>
    <w:rsid w:val="4ACA3D04"/>
    <w:rsid w:val="4BBC7B55"/>
    <w:rsid w:val="4C9D23BE"/>
    <w:rsid w:val="4DDD768E"/>
    <w:rsid w:val="4EDB3BC5"/>
    <w:rsid w:val="4FD420E2"/>
    <w:rsid w:val="50595DB0"/>
    <w:rsid w:val="53BC2C8F"/>
    <w:rsid w:val="545814C4"/>
    <w:rsid w:val="5615071C"/>
    <w:rsid w:val="578F3B8E"/>
    <w:rsid w:val="58DF1EA0"/>
    <w:rsid w:val="59005B37"/>
    <w:rsid w:val="591E0023"/>
    <w:rsid w:val="5BEF7C87"/>
    <w:rsid w:val="5E0A2C3F"/>
    <w:rsid w:val="5EF42775"/>
    <w:rsid w:val="5F9A722A"/>
    <w:rsid w:val="60187234"/>
    <w:rsid w:val="63D07F56"/>
    <w:rsid w:val="65F33811"/>
    <w:rsid w:val="66A2226B"/>
    <w:rsid w:val="681D1441"/>
    <w:rsid w:val="68C87588"/>
    <w:rsid w:val="69DB6BA1"/>
    <w:rsid w:val="6C561C8B"/>
    <w:rsid w:val="6CC46B82"/>
    <w:rsid w:val="6F630BD6"/>
    <w:rsid w:val="6F8F1A10"/>
    <w:rsid w:val="718E2A8F"/>
    <w:rsid w:val="73A31BA2"/>
    <w:rsid w:val="73AA26AC"/>
    <w:rsid w:val="7400051E"/>
    <w:rsid w:val="749626D9"/>
    <w:rsid w:val="756C46A5"/>
    <w:rsid w:val="75F17E32"/>
    <w:rsid w:val="77B27A27"/>
    <w:rsid w:val="789B384D"/>
    <w:rsid w:val="79202AC9"/>
    <w:rsid w:val="7AEE77CE"/>
    <w:rsid w:val="7E9C6F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qFormat="1"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iPriority w:val="99"/>
    <w:rPr>
      <w:color w:val="0000FF"/>
      <w:u w:val="single"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  <w:style w:type="character" w:styleId="9">
    <w:name w:val="Strong"/>
    <w:basedOn w:val="5"/>
    <w:qFormat/>
    <w:uiPriority w:val="0"/>
    <w:rPr>
      <w:b/>
    </w:rPr>
  </w:style>
  <w:style w:type="paragraph" w:styleId="10">
    <w:name w:val="toc 4"/>
    <w:basedOn w:val="1"/>
    <w:next w:val="1"/>
    <w:autoRedefine/>
    <w:uiPriority w:val="0"/>
    <w:pPr>
      <w:jc w:val="left"/>
    </w:pPr>
    <w:rPr>
      <w:rFonts w:cstheme="minorHAnsi"/>
      <w:sz w:val="22"/>
      <w:szCs w:val="22"/>
    </w:rPr>
  </w:style>
  <w:style w:type="paragraph" w:styleId="11">
    <w:name w:val="toc 2"/>
    <w:basedOn w:val="1"/>
    <w:next w:val="1"/>
    <w:autoRedefine/>
    <w:qFormat/>
    <w:uiPriority w:val="39"/>
    <w:pPr>
      <w:jc w:val="left"/>
    </w:pPr>
    <w:rPr>
      <w:rFonts w:cstheme="minorHAnsi"/>
      <w:b/>
      <w:bCs/>
      <w:smallCaps/>
      <w:sz w:val="22"/>
      <w:szCs w:val="22"/>
    </w:rPr>
  </w:style>
  <w:style w:type="paragraph" w:styleId="12">
    <w:name w:val="toc 5"/>
    <w:basedOn w:val="1"/>
    <w:next w:val="1"/>
    <w:autoRedefine/>
    <w:uiPriority w:val="0"/>
    <w:pPr>
      <w:jc w:val="left"/>
    </w:pPr>
    <w:rPr>
      <w:rFonts w:cstheme="minorHAnsi"/>
      <w:sz w:val="22"/>
      <w:szCs w:val="22"/>
    </w:rPr>
  </w:style>
  <w:style w:type="paragraph" w:styleId="13">
    <w:name w:val="toc 7"/>
    <w:basedOn w:val="1"/>
    <w:next w:val="1"/>
    <w:autoRedefine/>
    <w:uiPriority w:val="0"/>
    <w:pPr>
      <w:jc w:val="left"/>
    </w:pPr>
    <w:rPr>
      <w:rFonts w:cstheme="minorHAnsi"/>
      <w:sz w:val="22"/>
      <w:szCs w:val="22"/>
    </w:rPr>
  </w:style>
  <w:style w:type="paragraph" w:styleId="14">
    <w:name w:val="toc 8"/>
    <w:basedOn w:val="1"/>
    <w:next w:val="1"/>
    <w:autoRedefine/>
    <w:qFormat/>
    <w:uiPriority w:val="0"/>
    <w:pPr>
      <w:jc w:val="left"/>
    </w:pPr>
    <w:rPr>
      <w:rFonts w:cstheme="minorHAnsi"/>
      <w:sz w:val="22"/>
      <w:szCs w:val="22"/>
    </w:rPr>
  </w:style>
  <w:style w:type="paragraph" w:styleId="15">
    <w:name w:val="toc 1"/>
    <w:basedOn w:val="1"/>
    <w:next w:val="1"/>
    <w:autoRedefine/>
    <w:uiPriority w:val="39"/>
    <w:pPr>
      <w:spacing w:before="360" w:after="360"/>
      <w:jc w:val="left"/>
    </w:pPr>
    <w:rPr>
      <w:rFonts w:cstheme="minorHAnsi"/>
      <w:b/>
      <w:bCs/>
      <w:caps/>
      <w:sz w:val="22"/>
      <w:szCs w:val="22"/>
      <w:u w:val="single"/>
    </w:rPr>
  </w:style>
  <w:style w:type="paragraph" w:styleId="16">
    <w:name w:val="toc 9"/>
    <w:basedOn w:val="1"/>
    <w:next w:val="1"/>
    <w:autoRedefine/>
    <w:uiPriority w:val="0"/>
    <w:pPr>
      <w:jc w:val="left"/>
    </w:pPr>
    <w:rPr>
      <w:rFonts w:cstheme="minorHAnsi"/>
      <w:sz w:val="22"/>
      <w:szCs w:val="22"/>
    </w:rPr>
  </w:style>
  <w:style w:type="paragraph" w:styleId="17">
    <w:name w:val="toc 3"/>
    <w:basedOn w:val="1"/>
    <w:next w:val="1"/>
    <w:autoRedefine/>
    <w:uiPriority w:val="39"/>
    <w:pPr>
      <w:jc w:val="left"/>
    </w:pPr>
    <w:rPr>
      <w:rFonts w:cstheme="minorHAnsi"/>
      <w:smallCaps/>
      <w:sz w:val="22"/>
      <w:szCs w:val="22"/>
    </w:rPr>
  </w:style>
  <w:style w:type="paragraph" w:styleId="18">
    <w:name w:val="Body Text"/>
    <w:basedOn w:val="1"/>
    <w:qFormat/>
    <w:uiPriority w:val="99"/>
    <w:pPr>
      <w:spacing w:after="120"/>
    </w:pPr>
  </w:style>
  <w:style w:type="paragraph" w:styleId="19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20">
    <w:name w:val="toc 6"/>
    <w:basedOn w:val="1"/>
    <w:next w:val="1"/>
    <w:autoRedefine/>
    <w:qFormat/>
    <w:uiPriority w:val="0"/>
    <w:pPr>
      <w:jc w:val="left"/>
    </w:pPr>
    <w:rPr>
      <w:rFonts w:cstheme="minorHAnsi"/>
      <w:sz w:val="22"/>
      <w:szCs w:val="22"/>
    </w:rPr>
  </w:style>
  <w:style w:type="paragraph" w:customStyle="1" w:styleId="21">
    <w:name w:val="TOC Heading"/>
    <w:basedOn w:val="2"/>
    <w:next w:val="1"/>
    <w:unhideWhenUsed/>
    <w:qFormat/>
    <w:uiPriority w:val="39"/>
    <w:pPr>
      <w:keepNext/>
      <w:keepLines/>
      <w:widowControl/>
      <w:spacing w:before="480" w:beforeAutospacing="0" w:afterAutospacing="0" w:line="276" w:lineRule="auto"/>
      <w:outlineLvl w:val="9"/>
    </w:pPr>
    <w:rPr>
      <w:rFonts w:hint="default" w:asciiTheme="majorHAnsi" w:hAnsiTheme="majorHAnsi" w:eastAsiaTheme="majorEastAsia" w:cstheme="majorBidi"/>
      <w:color w:val="2E54A1" w:themeColor="accent1" w:themeShade="BF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39</Pages>
  <TotalTime>0</TotalTime>
  <ScaleCrop>false</ScaleCrop>
  <LinksUpToDate>false</LinksUpToDate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2026-10-08T17:15:00Z</dcterms:created>
  <dc:creator>第 __ 组</dc:creator>
  <cp:lastModifiedBy>WPS_1777956477</cp:lastModifiedBy>
  <dcterms:modified xsi:type="dcterms:W3CDTF">2026-10-31T07:10:22Z</dcterms:modified>
  <dc:subject>《Python 数据分析编程》项目报告（题目二）</dc:subject>
  <dc:title>车辆物联网遥测数据分析与告警识别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3076-12.1.0.29162</vt:lpwstr>
  </property>
  <property fmtid="{D5CDD505-2E9C-101B-9397-08002B2CF9AE}" pid="3" name="ICV">
    <vt:lpwstr>41AD7FD01CCA4A819819AF285B536ECD_12</vt:lpwstr>
  </property>
</Properties>
</file>