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《Java程序设计》课程设计个人报告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李四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2021002</w:t>
            </w:r>
          </w:p>
        </w:tc>
      </w:tr>
      <w:tr>
        <w:tc>
          <w:tcPr>
            <w:tcW w:type="dxa" w:w="4320"/>
          </w:tcPr>
          <w:p>
            <w:r>
              <w:t>课题名称</w:t>
            </w:r>
          </w:p>
        </w:tc>
        <w:tc>
          <w:tcPr>
            <w:tcW w:type="dxa" w:w="4320"/>
          </w:tcPr>
          <w:p>
            <w:r>
              <w:t>自动化数据处理与清洗系统（DataCleanPro）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后端开发/数据库设计</w:t>
            </w:r>
          </w:p>
        </w:tc>
      </w:tr>
      <w:tr>
        <w:tc>
          <w:tcPr>
            <w:tcW w:type="dxa" w:w="4320"/>
          </w:tcPr>
          <w:p>
            <w:r>
              <w:t>完成时间</w:t>
            </w:r>
          </w:p>
        </w:tc>
        <w:tc>
          <w:tcPr>
            <w:tcW w:type="dxa" w:w="4320"/>
          </w:tcPr>
          <w:p>
            <w:r>
              <w:t>2024年6月</w:t>
            </w:r>
          </w:p>
        </w:tc>
      </w:tr>
    </w:tbl>
    <w:p>
      <w:pPr>
        <w:pStyle w:val="Heading1"/>
      </w:pPr>
      <w:r>
        <w:t>一、个人任务完成情况</w:t>
      </w:r>
    </w:p>
    <w:p>
      <w:r>
        <w:t>主要职责：后端开发/数据库设计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数据库设计</w:t>
            </w:r>
          </w:p>
        </w:tc>
        <w:tc>
          <w:tcPr>
            <w:tcW w:type="dxa" w:w="2880"/>
          </w:tcPr>
          <w:p>
            <w:r>
              <w:t>设计数据表结构，编写建表SQL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连接池管理</w:t>
            </w:r>
          </w:p>
        </w:tc>
        <w:tc>
          <w:tcPr>
            <w:tcW w:type="dxa" w:w="2880"/>
          </w:tcPr>
          <w:p>
            <w:r>
              <w:t>实现DBConnection连接池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数据访问层</w:t>
            </w:r>
          </w:p>
        </w:tc>
        <w:tc>
          <w:tcPr>
            <w:tcW w:type="dxa" w:w="2880"/>
          </w:tcPr>
          <w:p>
            <w:r>
              <w:t>实现所有DAO类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数据验证模块</w:t>
            </w:r>
          </w:p>
        </w:tc>
        <w:tc>
          <w:tcPr>
            <w:tcW w:type="dxa" w:w="2880"/>
          </w:tcPr>
          <w:p>
            <w:r>
              <w:t>实现ValidateRule接口及验证规则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t>实现自定义异常类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配置管理</w:t>
            </w:r>
          </w:p>
        </w:tc>
        <w:tc>
          <w:tcPr>
            <w:tcW w:type="dxa" w:w="2880"/>
          </w:tcPr>
          <w:p>
            <w:r>
              <w:t>实现ConfigUtil配置工具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1"/>
      </w:pPr>
      <w:r>
        <w:t>二、技术实现</w:t>
      </w:r>
    </w:p>
    <w:p>
      <w:pPr>
        <w:pStyle w:val="Heading2"/>
      </w:pPr>
      <w:r>
        <w:t>2.1 接口的设计与实现</w:t>
      </w:r>
    </w:p>
    <w:p>
      <w:r>
        <w:t>在数据验证模块中，设计了ValidateRule接口，并实现了PhoneRule、EmailRule、RequiredRule等多个验证规则。通过接口设计，验证规则具有良好的可扩展性。</w:t>
      </w:r>
    </w:p>
    <w:p>
      <w:pPr>
        <w:pStyle w:val="Heading2"/>
      </w:pPr>
      <w:r>
        <w:t>2.2 数据库连接池实现</w:t>
      </w:r>
    </w:p>
    <w:p>
      <w:r>
        <w:t>实现了自定义的数据库连接池，使用BlockingQueue管理连接，提高数据库访问性能。</w:t>
      </w:r>
    </w:p>
    <w:p>
      <w:pPr>
        <w:pStyle w:val="Heading2"/>
      </w:pPr>
      <w:r>
        <w:t>2.3 DAO层实现</w:t>
      </w:r>
    </w:p>
    <w:p>
      <w:r>
        <w:t>实现了完整的数据访问层，包括DataFileDAO、DataRowDAO、CleanTaskDAO等，支持批量插入和事务管理。</w:t>
      </w:r>
    </w:p>
    <w:p>
      <w:pPr>
        <w:pStyle w:val="Heading2"/>
      </w:pPr>
      <w:r>
        <w:t>2.4 自定义异常处理</w:t>
      </w:r>
    </w:p>
    <w:p>
      <w:r>
        <w:t>实现了规范的异常处理体系，包括FileFormatException、DataValidateException、DatabaseImportException等。</w:t>
      </w:r>
    </w:p>
    <w:p>
      <w:pPr>
        <w:pStyle w:val="Heading1"/>
      </w:pPr>
      <w:r>
        <w:t>三、遇到的问题与解决方案</w:t>
      </w:r>
    </w:p>
    <w:p>
      <w:pPr>
        <w:pStyle w:val="Heading2"/>
      </w:pPr>
      <w:r>
        <w:t>3.1 JSON序列化问题</w:t>
      </w:r>
    </w:p>
    <w:p>
      <w:r>
        <w:t>解决方案：实现了简单的JSON转换方法，将字段列表转换为JSON字符串</w:t>
      </w:r>
    </w:p>
    <w:p>
      <w:pPr>
        <w:pStyle w:val="Heading2"/>
      </w:pPr>
      <w:r>
        <w:t>3.2 事务管理问题</w:t>
      </w:r>
    </w:p>
    <w:p>
      <w:r>
        <w:t>解决方案：实现了事务管理方法，支持beginTransaction、commitTransaction、rollbackTransaction</w:t>
      </w:r>
    </w:p>
    <w:p>
      <w:pPr>
        <w:pStyle w:val="Heading2"/>
      </w:pPr>
      <w:r>
        <w:t>3.3 连接泄漏问题</w:t>
      </w:r>
    </w:p>
    <w:p>
      <w:r>
        <w:t>解决方案：使用try-finally确保连接释放，避免连接池耗尽</w:t>
      </w:r>
    </w:p>
    <w:p>
      <w:pPr>
        <w:pStyle w:val="Heading1"/>
      </w:pPr>
      <w:r>
        <w:t>四、学习收获</w:t>
      </w:r>
    </w:p>
    <w:p>
      <w:r>
        <w:t>通过本次课程设计，我深入学习了Java核心技术，提高了项目开发和团队协作的能力。</w:t>
      </w:r>
    </w:p>
    <w:p>
      <w:pPr>
        <w:pStyle w:val="Heading1"/>
      </w:pPr>
      <w:r>
        <w:t>五、自我评价</w:t>
      </w:r>
    </w:p>
    <w:p>
      <w:r>
        <w:t>优点：工作认真负责，按时完成任务，代码质量高，善于学习新技术</w:t>
      </w:r>
    </w:p>
    <w:p>
      <w:r>
        <w:t>不足：对某些技术细节理解还不够深入，需要更多实战经验</w:t>
      </w:r>
    </w:p>
    <w:p>
      <w:r>
        <w:t>改进方向：继续深入学习Java核心技术，提高代码质量和可维护性</w:t>
      </w:r>
    </w:p>
    <w:p>
      <w:pPr>
        <w:pStyle w:val="Heading1"/>
      </w:pPr>
      <w:r>
        <w:t>六、总结</w:t>
      </w:r>
    </w:p>
    <w:p>
      <w:r>
        <w:t>通过本次课程设计，我不仅掌握了Java的核心技术，还提高了项目开发和团队协作的能力。从需求分析到系统实现，从代码编写到测试调试，每一个环节都让我收获颇丰。</w:t>
      </w:r>
    </w:p>
    <w:p>
      <w:pPr>
        <w:pStyle w:val="Heading1"/>
      </w:pPr>
      <w:r>
        <w:t>附录：个人代码贡献统计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代码行数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约400行</w:t>
            </w:r>
          </w:p>
        </w:tc>
      </w:tr>
      <w:tr>
        <w:tc>
          <w:tcPr>
            <w:tcW w:type="dxa" w:w="4320"/>
          </w:tcPr>
          <w:p>
            <w:r>
              <w:t>dao</w:t>
            </w:r>
          </w:p>
        </w:tc>
        <w:tc>
          <w:tcPr>
            <w:tcW w:type="dxa" w:w="4320"/>
          </w:tcPr>
          <w:p>
            <w:r>
              <w:t>约800行</w:t>
            </w:r>
          </w:p>
        </w:tc>
      </w:tr>
      <w:tr>
        <w:tc>
          <w:tcPr>
            <w:tcW w:type="dxa" w:w="4320"/>
          </w:tcPr>
          <w:p>
            <w:r>
              <w:t>validator</w:t>
            </w:r>
          </w:p>
        </w:tc>
        <w:tc>
          <w:tcPr>
            <w:tcW w:type="dxa" w:w="4320"/>
          </w:tcPr>
          <w:p>
            <w:r>
              <w:t>约300行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>
              <w:t>约200行</w:t>
            </w:r>
          </w:p>
        </w:tc>
      </w:tr>
      <w:tr>
        <w:tc>
          <w:tcPr>
            <w:tcW w:type="dxa" w:w="4320"/>
          </w:tcPr>
          <w:p>
            <w:r>
              <w:t>util</w:t>
            </w:r>
          </w:p>
        </w:tc>
        <w:tc>
          <w:tcPr>
            <w:tcW w:type="dxa" w:w="4320"/>
          </w:tcPr>
          <w:p>
            <w:r>
              <w:t>约150行</w:t>
            </w:r>
          </w:p>
        </w:tc>
      </w:tr>
      <w:tr>
        <w:tc>
          <w:tcPr>
            <w:tcW w:type="dxa" w:w="4320"/>
          </w:tcPr>
          <w:p>
            <w:r>
              <w:t>总计</w:t>
            </w:r>
          </w:p>
        </w:tc>
        <w:tc>
          <w:tcPr>
            <w:tcW w:type="dxa" w:w="4320"/>
          </w:tcPr>
          <w:p>
            <w:r>
              <w:t>约2100行（28%）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