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№1 (Вар. 1и)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Поиск с возвратом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19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Беннер В.А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32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>Цель работы</w:t>
      </w:r>
      <w:r>
        <w:rPr>
          <w:b/>
          <w:bCs/>
          <w:u w:val="none"/>
        </w:rPr>
        <w:t>:</w:t>
      </w:r>
    </w:p>
    <w:p>
      <w:pPr>
        <w:pStyle w:val="Standard"/>
        <w:rPr/>
      </w:pPr>
      <w:r>
        <w:rPr/>
        <w:t>Изучить метод поиска с возвратом и разработать алгоритм, который эффективно применяет этот метод для решения задачи разбиения квадрата на меньшие квадраты.</w:t>
      </w:r>
    </w:p>
    <w:p>
      <w:pPr>
        <w:pStyle w:val="Standard"/>
        <w:ind w:hanging="0"/>
        <w:rPr/>
      </w:pPr>
      <w:r>
        <w:rPr/>
      </w:r>
    </w:p>
    <w:p>
      <w:pPr>
        <w:pStyle w:val="Heading2"/>
        <w:ind w:hanging="0"/>
        <w:rPr/>
      </w:pPr>
      <w:r>
        <w:rPr/>
        <w:tab/>
        <w:t>Задание (Вариант 1и. Итеративный бэктрекинг. Выполнение на Stepik двух заданий в разделе 2)</w:t>
      </w:r>
    </w:p>
    <w:p>
      <w:pPr>
        <w:pStyle w:val="Normal"/>
        <w:rPr/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У Вовы много квадратных обрезков доски. Их стороны (размер) изменяются от 1 до  N −1, и у него есть неограниченное число обрезков любого размера. Но ему очень хочется получить большую столешницу - квадрат размера 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Он может получить ее, собрав из уже имеющихся обрезков(квадратов).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7×7 может быть построена из 9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 xml:space="preserve">Размер столешницы - одно целое число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(2≤N≤20).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Одно число K, задающее минимальное количество обрезков(квадратов), из которых можно построить столешницу(квадрат) заданного размера  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должны идти K строк, каждая из которых должна содержать три целых числа x,y,w задающие координаты левого верхнего угла (1≤x,y≤N)  и длину стороны соответствующего обрезка(квадрата).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</w:rPr>
        <w:t>﻿</w:t>
      </w:r>
      <w:r>
        <w:rPr>
          <w:rFonts w:cs="Times New Roman" w:ascii="Times New Roman" w:hAnsi="Times New Roman"/>
          <w:sz w:val="28"/>
          <w:szCs w:val="28"/>
        </w:rPr>
        <w:t>Пример входных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Соответствующие выходные данные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1 1 2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1 3 2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4 1 1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3 2 2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5 1 3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4 4 4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1 5 3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3 4 1</w:t>
      </w:r>
    </w:p>
    <w:p>
      <w:pPr>
        <w:pStyle w:val="Normal"/>
        <w:numPr>
          <w:ilvl w:val="0"/>
          <w:numId w:val="0"/>
        </w:numPr>
        <w:spacing w:lineRule="auto" w:line="360"/>
        <w:ind w:left="755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Heading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 xml:space="preserve">Для решения задачи применялся алгоритм итеративного поиска с возвратом (backtracking). Этот переборный метод позволяет находить решения, постепенно расширяя частичные результаты. На каждом шаге </w:t>
      </w:r>
      <w:r>
        <w:rPr>
          <w:u w:val="none"/>
        </w:rPr>
        <w:t>(в данном случае</w:t>
      </w:r>
      <w:r>
        <w:rPr>
          <w:u w:val="none"/>
        </w:rPr>
        <w:t xml:space="preserve"> при добавлении нового квадрата</w:t>
      </w:r>
      <w:r>
        <w:rPr>
          <w:u w:val="none"/>
        </w:rPr>
        <w:t>)</w:t>
      </w:r>
      <w:r>
        <w:rPr>
          <w:u w:val="none"/>
        </w:rPr>
        <w:t xml:space="preserve"> проверяется соответствие текущего решения заданным критериям. Полные решения сохраняются, частичные расширяются, а несоответствующие отбрасываются, чтобы избежать ненужного перебора.</w:t>
      </w:r>
    </w:p>
    <w:p>
      <w:pPr>
        <w:pStyle w:val="Standard"/>
        <w:rPr>
          <w:u w:val="none"/>
        </w:rPr>
      </w:pPr>
      <w:r>
        <w:rPr>
          <w:u w:val="none"/>
        </w:rPr>
        <w:t xml:space="preserve">Написанное решение работает для натуральных числе от 2 до 40 </w:t>
      </w:r>
      <w:r>
        <w:rPr>
          <w:b/>
          <w:bCs/>
          <w:u w:val="none"/>
        </w:rPr>
        <w:t>(пройдено 3 модуля вместо 2-х)</w:t>
      </w:r>
      <w:r>
        <w:rPr>
          <w:u w:val="none"/>
        </w:rPr>
        <w:t xml:space="preserve">. </w:t>
      </w:r>
    </w:p>
    <w:p>
      <w:pPr>
        <w:pStyle w:val="Standard"/>
        <w:rPr>
          <w:u w:val="none"/>
        </w:rPr>
      </w:pPr>
      <w:r>
        <w:rPr>
          <w:u w:val="none"/>
        </w:rPr>
        <w:br/>
        <w:tab/>
      </w:r>
      <w:r>
        <w:rPr>
          <w:b/>
          <w:bCs/>
          <w:u w:val="none"/>
        </w:rPr>
        <w:t>Работа алгоритма:</w:t>
      </w:r>
    </w:p>
    <w:p>
      <w:pPr>
        <w:pStyle w:val="Standard"/>
        <w:ind w:hanging="0"/>
        <w:rPr>
          <w:u w:val="none"/>
        </w:rPr>
      </w:pPr>
      <w:r>
        <w:rPr/>
        <w:tab/>
        <w:t>1. Определение ориентировочного решения: Сначала алгоритм определяет, сколько примерно квадратов потребуется для решения задачи. Также вычисляются размеры самых крупных квадратов, с которых начнётся заполнение.</w:t>
      </w:r>
    </w:p>
    <w:p>
      <w:pPr>
        <w:pStyle w:val="Standard"/>
        <w:ind w:hanging="0"/>
        <w:rPr>
          <w:u w:val="none"/>
        </w:rPr>
      </w:pPr>
      <w:r>
        <w:rPr/>
        <w:tab/>
        <w:t>2. Начало заполнения: Квадрат заполняется несколькими большими квадратами. Это создаёт основу, с которой дальше будет работать алгоритм.</w:t>
      </w:r>
    </w:p>
    <w:p>
      <w:pPr>
        <w:pStyle w:val="Standard"/>
        <w:ind w:hanging="0"/>
        <w:rPr>
          <w:u w:val="none"/>
        </w:rPr>
      </w:pPr>
      <w:r>
        <w:rPr/>
        <w:tab/>
        <w:t>3. Поиск свободных мест и добавление новых квадратов: Алгоритм ищет пустые места на основном квадрате. Для каждого такого места подбираются все возможные квадраты, которые могут туда поместиться. Эти квадраты добавляются в список рассматриваемых вариантов (в "стек").</w:t>
      </w:r>
    </w:p>
    <w:p>
      <w:pPr>
        <w:pStyle w:val="Standard"/>
        <w:ind w:hanging="0"/>
        <w:rPr>
          <w:u w:val="none"/>
        </w:rPr>
      </w:pPr>
      <w:r>
        <w:rPr/>
        <w:tab/>
        <w:t>4. Проверка каждого варианта (комбинации квадратов): Из списка вариантов берётся текущая комбинация квадратов и проверяется, заполнила ли она весь квадрат.</w:t>
      </w:r>
    </w:p>
    <w:p>
      <w:pPr>
        <w:pStyle w:val="Standard"/>
        <w:ind w:hanging="0"/>
        <w:rPr>
          <w:u w:val="none"/>
        </w:rPr>
      </w:pPr>
      <w:r>
        <w:rPr/>
        <w:t xml:space="preserve">  •  </w:t>
      </w:r>
      <w:r>
        <w:rPr/>
        <w:t>Если да - решение найдено! Выводится информация о том, какие квадраты использовались.</w:t>
      </w:r>
    </w:p>
    <w:p>
      <w:pPr>
        <w:pStyle w:val="Standard"/>
        <w:ind w:hanging="0"/>
        <w:rPr>
          <w:u w:val="none"/>
        </w:rPr>
      </w:pPr>
      <w:r>
        <w:rPr/>
        <w:t xml:space="preserve">  •  </w:t>
      </w:r>
      <w:r>
        <w:rPr/>
        <w:t>Если нет - проверяется, не слишком ли много квадратов уже использовано в этом варианте. Если квадратов слишком много, то дальнейшее рассмотрение этого варианта прекращается - он не приведёт к оптимальному решению.</w:t>
      </w:r>
    </w:p>
    <w:p>
      <w:pPr>
        <w:pStyle w:val="Standard"/>
        <w:ind w:hanging="0"/>
        <w:rPr>
          <w:u w:val="none"/>
        </w:rPr>
      </w:pPr>
      <w:r>
        <w:rPr/>
        <w:tab/>
        <w:t>5. Перебор вариантов: Алгоритм перебирает варианты, пока не найдёт решение, или пока не убедится, что с текущими ограничениями решения нет. Если перебраны все варианты и решение не найдено, то алгоритм немного ослабляет ограничения (разрешает использовать больше квадратов) и начинает перебор заново.</w:t>
      </w:r>
    </w:p>
    <w:p>
      <w:pPr>
        <w:pStyle w:val="Standard"/>
        <w:ind w:hanging="0"/>
        <w:rPr>
          <w:u w:val="none"/>
        </w:rPr>
      </w:pPr>
      <w:r>
        <w:rPr/>
        <w:t>6. Повторение до нахождения решения: Шаги 3-5 повторяются до тех пор, пока не будет найдено разбиение основного квадрата на квадраты меньшего размера.</w:t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ab/>
        <w:t>Способ хранения частичных решений:</w:t>
      </w:r>
    </w:p>
    <w:p>
      <w:pPr>
        <w:pStyle w:val="Standard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К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ласс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SquareCombination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(э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тот класс представляет частичное решение задачи разбиения квадрата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)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Standard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Он хранит:</w:t>
      </w:r>
    </w:p>
    <w:p>
      <w:pPr>
        <w:pStyle w:val="Standard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•  area: Общая площадь заполненных квадратов.</w:t>
      </w:r>
    </w:p>
    <w:p>
      <w:pPr>
        <w:pStyle w:val="Standard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•  matrix: Состояние заполненности квадрата (используется для проверки пересечений).</w:t>
      </w:r>
    </w:p>
    <w:p>
      <w:pPr>
        <w:pStyle w:val="Standard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•  squares: Список квадратов, входящих в текущую комбинацию.</w:t>
      </w:r>
    </w:p>
    <w:p>
      <w:pPr>
        <w:pStyle w:val="Standard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  <w:t>•  next: Точка, с которой следует начинать поиск места для следующего квадрата.</w:t>
      </w:r>
    </w:p>
    <w:p>
      <w:pPr>
        <w:pStyle w:val="Standard"/>
        <w:ind w:hanging="0"/>
        <w:rPr>
          <w:b w:val="false"/>
          <w:b w:val="false"/>
          <w:bCs w:val="false"/>
          <w:u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ind w:hanging="0"/>
        <w:rPr>
          <w:b/>
          <w:b/>
          <w:bCs/>
        </w:rPr>
      </w:pPr>
      <w:r>
        <w:rPr>
          <w:rFonts w:ascii="Times New Roman" w:hAnsi="Times New Roman"/>
          <w:b/>
          <w:bCs/>
          <w:u w:val="none"/>
        </w:rPr>
        <w:tab/>
        <w:t>Оптимизации</w:t>
      </w:r>
      <w:r>
        <w:rPr>
          <w:b/>
          <w:bCs/>
          <w:u w:val="none"/>
        </w:rPr>
        <w:t xml:space="preserve"> алгоритма: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. Определение цели и стратегии: Сначала вычисляются оценки для размеров квадратов, которые будут использоваться, и определяется максимальное количество квадратов, которые нужно использовать для решения.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2. Устранение дубликатов: На каждом шаге выбирается только одна точка для добавления нового квадрата, чтобы избежать генерации одинаковых решений, отличающихся только порядком квадратов.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3. Приоритезация больших квадратов: Алгоритм стремится в первую очередь размещать квадраты большего размера, поскольку комбинации с меньшим количеством больших квадратов считаются более перспективными. Это реализуется добавлением вариантов с большими квадратами в стек последними, чтобы они извлекались первыми.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4. Ограничение глубины поиска: Существует ограничение на количество квадратов в одном варианте решения. Если вариант превышает это ограничение, он отбрасывается, чтобы не тратить время на бесперспективные ветви поиска.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5. Ранний выход: Как только найдено решение, алгоритм завершает свою работу, даже если потенциально существуют другие решения.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6. Сокращение области поиска: Задача упрощается путем рассмотрения только части исходного квадрата, а не всего целиком. При этом учитывается начальное условие - уже заполненная часть (если она есть).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7. Эффективный перебор: При поиске свободного места для нового квадрата перебор начинается не с самого начала, а с точки, следующей за тем местом, где был расположен последний квадрат в частичном решении. Это позволяет избежать повторного просмотра уже проверенных областей.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ab/>
        <w:t>Оценка сложности и памяти: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ab/>
        <w:t xml:space="preserve">1. Временная сложность: </w:t>
      </w:r>
      <w:r>
        <w:rPr>
          <w:u w:val="none"/>
        </w:rPr>
        <w:t>Максимальная длинна комбинации линейно зависит от N, количество вариантов зависит от N^2</w:t>
      </w:r>
    </w:p>
    <w:p>
      <w:pPr>
        <w:pStyle w:val="Standard"/>
        <w:ind w:hanging="0"/>
        <w:rPr>
          <w:u w:val="none"/>
        </w:rPr>
      </w:pPr>
      <w:r>
        <w:rPr>
          <w:u w:val="none"/>
        </w:rPr>
        <w:t>=&gt; сложность будет О(N^2)</w:t>
      </w:r>
    </w:p>
    <w:p>
      <w:pPr>
        <w:pStyle w:val="Standard"/>
        <w:ind w:hanging="0"/>
        <w:rPr>
          <w:u w:val="none"/>
        </w:rPr>
      </w:pPr>
      <w:r>
        <w:rPr/>
        <w:tab/>
        <w:t>2. Оценка памяти: размер стека всегда не больше чем N*(N-1), размер комбинации не больше, чем N</w:t>
      </w:r>
    </w:p>
    <w:p>
      <w:pPr>
        <w:pStyle w:val="Standard"/>
        <w:ind w:hanging="0"/>
        <w:rPr>
          <w:u w:val="none"/>
        </w:rPr>
      </w:pPr>
      <w:r>
        <w:rPr/>
        <w:t>=&gt; общая оценка памяти будет N^3</w:t>
      </w:r>
    </w:p>
    <w:p>
      <w:pPr>
        <w:pStyle w:val="Standard"/>
        <w:ind w:hanging="0"/>
        <w:rPr>
          <w:u w:val="none"/>
        </w:rPr>
      </w:pPr>
      <w:r>
        <w:rPr/>
      </w:r>
    </w:p>
    <w:p>
      <w:pPr>
        <w:pStyle w:val="Standard"/>
        <w:ind w:hanging="0"/>
        <w:rPr>
          <w:b/>
          <w:b/>
          <w:bCs/>
        </w:rPr>
      </w:pPr>
      <w:r>
        <w:rPr>
          <w:b/>
          <w:bCs/>
          <w:u w:val="none"/>
        </w:rPr>
        <w:tab/>
      </w:r>
      <w:r>
        <w:rPr>
          <w:b/>
          <w:bCs/>
          <w:u w:val="none"/>
        </w:rPr>
        <w:t>Вывод</w:t>
      </w:r>
      <w:r>
        <w:rPr>
          <w:b/>
          <w:bCs/>
          <w:u w:val="none"/>
        </w:rPr>
        <w:t>:</w:t>
      </w:r>
    </w:p>
    <w:p>
      <w:pPr>
        <w:pStyle w:val="Standard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ab/>
        <w:t>Разработан алгоритм, основанный на поиске с возвратом, для разбиения квадрата на меньшие квадраты. Алгоритм использует оценки размеров квадратов и ограничения на их количество, чтобы сузить область поиска и быстро находить подходящие решения. Использование приоритета для больших квадратов и отсечение бесперспективных вариантов помогло ускорить работу алгоритма.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91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pPr>
      <w:spacing w:lineRule="auto" w:line="276" w:before="0" w:after="140"/>
    </w:pPr>
    <w:rPr/>
  </w:style>
  <w:style w:type="paragraph" w:styleId="List">
    <w:name w:val="List"/>
    <w:basedOn w:val="TextBody"/>
    <w:uiPriority w:val="99"/>
    <w:pPr/>
    <w:rPr>
      <w:rFonts w:cs="Lohit Devanagari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2">
    <w:name w:val="Заголовок"/>
    <w:basedOn w:val="Normal"/>
    <w:next w:val="TextBody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Title">
    <w:name w:val="Title"/>
    <w:basedOn w:val="Normal"/>
    <w:next w:val="TextBody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4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15">
    <w:name w:val="Колонтитул"/>
    <w:basedOn w:val="Normal"/>
    <w:uiPriority w:val="99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Footer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16" w:customStyle="1">
    <w:name w:val="Содержимое врезки"/>
    <w:basedOn w:val="Normal"/>
    <w:uiPriority w:val="99"/>
    <w:qFormat/>
    <w:pPr/>
    <w:rPr/>
  </w:style>
  <w:style w:type="paragraph" w:styleId="Style17">
    <w:name w:val="Заголовок таблицы"/>
    <w:basedOn w:val="Style14"/>
    <w:uiPriority w:val="9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Application>LibreOffice/7.3.7.2$Linux_X86_64 LibreOffice_project/30$Build-2</Application>
  <AppVersion>15.0000</AppVersion>
  <Pages>6</Pages>
  <Words>854</Words>
  <Characters>5463</Characters>
  <CharactersWithSpaces>6297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2025-02-20T10:35:57Z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