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6C05" w14:textId="158770DB" w:rsidR="002C5280" w:rsidRPr="00DA4FAF" w:rsidRDefault="002C5280" w:rsidP="002C5280">
      <w:pPr>
        <w:pStyle w:val="ListParagraph"/>
        <w:numPr>
          <w:ilvl w:val="0"/>
          <w:numId w:val="2"/>
        </w:numPr>
        <w:rPr>
          <w:b/>
          <w:bCs/>
          <w:sz w:val="24"/>
          <w:szCs w:val="24"/>
        </w:rPr>
      </w:pPr>
      <w:r w:rsidRPr="00DA4FAF">
        <w:rPr>
          <w:b/>
          <w:bCs/>
          <w:sz w:val="24"/>
          <w:szCs w:val="24"/>
        </w:rPr>
        <w:t>Introduction</w:t>
      </w:r>
    </w:p>
    <w:p w14:paraId="3A0F5CA8" w14:textId="32EBF15F" w:rsidR="00DA4FAF" w:rsidRPr="00DA4FAF" w:rsidRDefault="00DA4FAF" w:rsidP="00DA4FAF">
      <w:pPr>
        <w:rPr>
          <w:sz w:val="24"/>
          <w:szCs w:val="24"/>
        </w:rPr>
      </w:pPr>
      <w:r w:rsidRPr="00DA4FAF">
        <w:rPr>
          <w:sz w:val="24"/>
          <w:szCs w:val="24"/>
        </w:rPr>
        <w:t>Since the outbreak of Covid-19, governments around the world have relied on two key measures to curb local transmission of the disease are 1) contact tracing; 2) extensive testing. These two measures work well if a) the outbreak is discovered earlier; b) the number of confirmed cases is limited, and c) the presence of asymptomatic carriers is rare. However, in many parts of the world, it is extremely unlikely for all these three conditions to be met simultaneously. In most cases, local transmission cannot be contained without extreme measures such as extended periods of lockdown – which result in a heavy toll on the economic performance. Considering this, effective methods to select only a small subset of the geography or population to enter lockdown or perform group testing can be immensely helpful for the government to strike a balance between containing the virus and maintaining the economic output.</w:t>
      </w:r>
    </w:p>
    <w:p w14:paraId="563697B2" w14:textId="18562C76" w:rsidR="00006FDF" w:rsidRDefault="002C5280" w:rsidP="00DA4FAF">
      <w:pPr>
        <w:pStyle w:val="ListParagraph"/>
        <w:numPr>
          <w:ilvl w:val="1"/>
          <w:numId w:val="2"/>
        </w:numPr>
        <w:rPr>
          <w:b/>
          <w:bCs/>
          <w:sz w:val="24"/>
          <w:szCs w:val="24"/>
        </w:rPr>
      </w:pPr>
      <w:r w:rsidRPr="00DA4FAF">
        <w:rPr>
          <w:b/>
          <w:bCs/>
          <w:sz w:val="24"/>
          <w:szCs w:val="24"/>
        </w:rPr>
        <w:t>Background</w:t>
      </w:r>
    </w:p>
    <w:p w14:paraId="2604D286" w14:textId="7C406449" w:rsidR="00DA4FAF" w:rsidRPr="00006FDF" w:rsidRDefault="00DA4FAF" w:rsidP="00DA4FAF">
      <w:pPr>
        <w:rPr>
          <w:b/>
          <w:bCs/>
          <w:sz w:val="24"/>
          <w:szCs w:val="24"/>
        </w:rPr>
      </w:pPr>
      <w:r>
        <w:rPr>
          <w:sz w:val="24"/>
          <w:szCs w:val="24"/>
        </w:rPr>
        <w:t xml:space="preserve">The first positive case for Covid-19 in Australia was reported on 25 January 2020 from incoming travellers from China. One month </w:t>
      </w:r>
      <w:r w:rsidR="00737D85">
        <w:rPr>
          <w:sz w:val="24"/>
          <w:szCs w:val="24"/>
        </w:rPr>
        <w:t xml:space="preserve">later, on </w:t>
      </w:r>
      <w:r>
        <w:rPr>
          <w:sz w:val="24"/>
          <w:szCs w:val="24"/>
        </w:rPr>
        <w:t>27</w:t>
      </w:r>
      <w:r w:rsidRPr="00DA4FAF">
        <w:rPr>
          <w:sz w:val="24"/>
          <w:szCs w:val="24"/>
          <w:vertAlign w:val="superscript"/>
        </w:rPr>
        <w:t>th</w:t>
      </w:r>
      <w:r>
        <w:rPr>
          <w:sz w:val="24"/>
          <w:szCs w:val="24"/>
        </w:rPr>
        <w:t xml:space="preserve"> Feb, the Australian Prime minister Scott Morrison announced the Australian Health Sector Emergency Response Plan</w:t>
      </w:r>
      <w:r w:rsidR="00737D85">
        <w:rPr>
          <w:sz w:val="24"/>
          <w:szCs w:val="24"/>
        </w:rPr>
        <w:t xml:space="preserve">, </w:t>
      </w:r>
      <w:r>
        <w:rPr>
          <w:sz w:val="24"/>
          <w:szCs w:val="24"/>
        </w:rPr>
        <w:t>4 days before the first case of community transmission was reported in the state of NSW</w:t>
      </w:r>
      <w:r w:rsidR="00737D85">
        <w:rPr>
          <w:sz w:val="24"/>
          <w:szCs w:val="24"/>
        </w:rPr>
        <w:t xml:space="preserve"> on 2</w:t>
      </w:r>
      <w:r w:rsidR="00737D85" w:rsidRPr="00737D85">
        <w:rPr>
          <w:sz w:val="24"/>
          <w:szCs w:val="24"/>
          <w:vertAlign w:val="superscript"/>
        </w:rPr>
        <w:t>nd</w:t>
      </w:r>
      <w:r w:rsidR="00737D85">
        <w:rPr>
          <w:sz w:val="24"/>
          <w:szCs w:val="24"/>
        </w:rPr>
        <w:t xml:space="preserve"> March</w:t>
      </w:r>
      <w:r>
        <w:rPr>
          <w:sz w:val="24"/>
          <w:szCs w:val="24"/>
        </w:rPr>
        <w:t xml:space="preserve">. Since then, Sydney, the capital city of NSW, has experienced three waves of the </w:t>
      </w:r>
      <w:r w:rsidR="00737D85">
        <w:rPr>
          <w:sz w:val="24"/>
          <w:szCs w:val="24"/>
        </w:rPr>
        <w:t xml:space="preserve">locally spread </w:t>
      </w:r>
      <w:r>
        <w:rPr>
          <w:sz w:val="24"/>
          <w:szCs w:val="24"/>
        </w:rPr>
        <w:t xml:space="preserve">virus </w:t>
      </w:r>
      <w:r w:rsidR="00737D85">
        <w:rPr>
          <w:sz w:val="24"/>
          <w:szCs w:val="24"/>
        </w:rPr>
        <w:t>within</w:t>
      </w:r>
      <w:r>
        <w:rPr>
          <w:sz w:val="24"/>
          <w:szCs w:val="24"/>
        </w:rPr>
        <w:t xml:space="preserve"> </w:t>
      </w:r>
      <w:r w:rsidR="00737D85">
        <w:rPr>
          <w:sz w:val="24"/>
          <w:szCs w:val="24"/>
        </w:rPr>
        <w:t xml:space="preserve">its regional proximity – namely the “Bondi Beach Cluster”, the “Western Sydney Cluster” and the “Northern Beach Cluster”. </w:t>
      </w:r>
    </w:p>
    <w:p w14:paraId="2AE71E0D" w14:textId="70820CB2" w:rsidR="00737D85" w:rsidRDefault="00737D85" w:rsidP="00DA4FAF">
      <w:pPr>
        <w:rPr>
          <w:sz w:val="24"/>
          <w:szCs w:val="24"/>
        </w:rPr>
      </w:pPr>
      <w:r>
        <w:rPr>
          <w:sz w:val="24"/>
          <w:szCs w:val="24"/>
        </w:rPr>
        <w:t>{Chart index} shows the daily count of new cases (locally acquired) in the metro Sydney area</w:t>
      </w:r>
      <w:r w:rsidR="00B46273">
        <w:rPr>
          <w:sz w:val="24"/>
          <w:szCs w:val="24"/>
        </w:rPr>
        <w:t>. One can clearly spot the three distinct waves from the three location in difference</w:t>
      </w:r>
      <w:r w:rsidR="006A240A">
        <w:rPr>
          <w:sz w:val="24"/>
          <w:szCs w:val="24"/>
        </w:rPr>
        <w:t xml:space="preserve"> time. </w:t>
      </w:r>
      <w:r w:rsidR="00B87AFD">
        <w:rPr>
          <w:sz w:val="24"/>
          <w:szCs w:val="24"/>
        </w:rPr>
        <w:t xml:space="preserve">The magnitude of outbreak is relatively small compared to what happened in the rest of the world. </w:t>
      </w:r>
      <w:r w:rsidR="006A240A">
        <w:rPr>
          <w:sz w:val="24"/>
          <w:szCs w:val="24"/>
        </w:rPr>
        <w:t>This creates an opportunity to investigate the spatial diffusion of the virus</w:t>
      </w:r>
      <w:r w:rsidR="00F836E4">
        <w:rPr>
          <w:sz w:val="24"/>
          <w:szCs w:val="24"/>
        </w:rPr>
        <w:t xml:space="preserve"> in a relatively “controlled” environment, where the source of the virus during those period</w:t>
      </w:r>
      <w:r w:rsidR="005F0E60">
        <w:rPr>
          <w:sz w:val="24"/>
          <w:szCs w:val="24"/>
        </w:rPr>
        <w:t>s</w:t>
      </w:r>
      <w:r w:rsidR="00F836E4">
        <w:rPr>
          <w:sz w:val="24"/>
          <w:szCs w:val="24"/>
        </w:rPr>
        <w:t xml:space="preserve"> is likely </w:t>
      </w:r>
      <w:r w:rsidR="005F0E60">
        <w:rPr>
          <w:sz w:val="24"/>
          <w:szCs w:val="24"/>
        </w:rPr>
        <w:t>originated from</w:t>
      </w:r>
      <w:r w:rsidR="00F836E4">
        <w:rPr>
          <w:sz w:val="24"/>
          <w:szCs w:val="24"/>
        </w:rPr>
        <w:t xml:space="preserve"> </w:t>
      </w:r>
      <w:r w:rsidR="005F0E60">
        <w:rPr>
          <w:sz w:val="24"/>
          <w:szCs w:val="24"/>
        </w:rPr>
        <w:t>the suburb that first record</w:t>
      </w:r>
      <w:r w:rsidR="00406A90">
        <w:rPr>
          <w:sz w:val="24"/>
          <w:szCs w:val="24"/>
        </w:rPr>
        <w:t>ed</w:t>
      </w:r>
      <w:r w:rsidR="005F0E60">
        <w:rPr>
          <w:sz w:val="24"/>
          <w:szCs w:val="24"/>
        </w:rPr>
        <w:t xml:space="preserve"> the spike in new cases</w:t>
      </w:r>
      <w:r w:rsidR="006A240A">
        <w:rPr>
          <w:sz w:val="24"/>
          <w:szCs w:val="24"/>
        </w:rPr>
        <w:t xml:space="preserve">. </w:t>
      </w:r>
    </w:p>
    <w:p w14:paraId="0EF1816C" w14:textId="6DF1C75A" w:rsidR="00737D85" w:rsidRPr="00DA4FAF" w:rsidRDefault="00737D85" w:rsidP="00DA4FAF">
      <w:pPr>
        <w:rPr>
          <w:sz w:val="24"/>
          <w:szCs w:val="24"/>
        </w:rPr>
      </w:pPr>
      <w:r>
        <w:rPr>
          <w:noProof/>
        </w:rPr>
        <w:drawing>
          <wp:inline distT="0" distB="0" distL="0" distR="0" wp14:anchorId="6F79AA73" wp14:editId="5F321492">
            <wp:extent cx="5731510" cy="2901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1950"/>
                    </a:xfrm>
                    <a:prstGeom prst="rect">
                      <a:avLst/>
                    </a:prstGeom>
                  </pic:spPr>
                </pic:pic>
              </a:graphicData>
            </a:graphic>
          </wp:inline>
        </w:drawing>
      </w:r>
    </w:p>
    <w:p w14:paraId="11FF4407" w14:textId="35598B6D" w:rsidR="00AA1D37" w:rsidRDefault="009450CC" w:rsidP="00AA1D37">
      <w:pPr>
        <w:rPr>
          <w:sz w:val="24"/>
          <w:szCs w:val="24"/>
        </w:rPr>
      </w:pPr>
      <w:r w:rsidRPr="009450CC">
        <w:rPr>
          <w:sz w:val="24"/>
          <w:szCs w:val="24"/>
        </w:rPr>
        <w:lastRenderedPageBreak/>
        <w:t>{</w:t>
      </w:r>
      <w:r>
        <w:rPr>
          <w:sz w:val="24"/>
          <w:szCs w:val="24"/>
        </w:rPr>
        <w:t>Chart index</w:t>
      </w:r>
      <w:r w:rsidRPr="009450CC">
        <w:rPr>
          <w:sz w:val="24"/>
          <w:szCs w:val="24"/>
        </w:rPr>
        <w:t>}</w:t>
      </w:r>
      <w:r>
        <w:rPr>
          <w:sz w:val="24"/>
          <w:szCs w:val="24"/>
        </w:rPr>
        <w:t xml:space="preserve"> shows the accumulated cases by local health districts. The early spikes across all regions are driven by the South Eastern Sydney cluster (Bondi beach). The rise of cases in Western Sydney and South Western Sydney is more gradual which is also accompanied with rise in cases in other regions. The final cluster in Northern Sydney appears relatively isolated compared with the first two clusters. </w:t>
      </w:r>
    </w:p>
    <w:p w14:paraId="7243DD40" w14:textId="16A659DD" w:rsidR="009450CC" w:rsidRDefault="009450CC" w:rsidP="00AA1D37">
      <w:pPr>
        <w:rPr>
          <w:sz w:val="24"/>
          <w:szCs w:val="24"/>
        </w:rPr>
      </w:pPr>
      <w:r>
        <w:rPr>
          <w:noProof/>
        </w:rPr>
        <w:drawing>
          <wp:inline distT="0" distB="0" distL="0" distR="0" wp14:anchorId="0F0BD9A8" wp14:editId="18FA635D">
            <wp:extent cx="5731510" cy="36360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36010"/>
                    </a:xfrm>
                    <a:prstGeom prst="rect">
                      <a:avLst/>
                    </a:prstGeom>
                  </pic:spPr>
                </pic:pic>
              </a:graphicData>
            </a:graphic>
          </wp:inline>
        </w:drawing>
      </w:r>
    </w:p>
    <w:p w14:paraId="06D22FE8" w14:textId="23275223" w:rsidR="0048511C" w:rsidRDefault="00466261" w:rsidP="00AA1D37">
      <w:pPr>
        <w:rPr>
          <w:sz w:val="24"/>
          <w:szCs w:val="24"/>
        </w:rPr>
      </w:pPr>
      <w:r>
        <w:rPr>
          <w:noProof/>
        </w:rPr>
        <w:drawing>
          <wp:inline distT="0" distB="0" distL="0" distR="0" wp14:anchorId="3686CF60" wp14:editId="3185E809">
            <wp:extent cx="5731510" cy="38328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32860"/>
                    </a:xfrm>
                    <a:prstGeom prst="rect">
                      <a:avLst/>
                    </a:prstGeom>
                  </pic:spPr>
                </pic:pic>
              </a:graphicData>
            </a:graphic>
          </wp:inline>
        </w:drawing>
      </w:r>
    </w:p>
    <w:p w14:paraId="49EC9719" w14:textId="3E7B7ABB" w:rsidR="00DD68EA" w:rsidRDefault="0048511C" w:rsidP="00AA1D37">
      <w:pPr>
        <w:rPr>
          <w:sz w:val="24"/>
          <w:szCs w:val="24"/>
        </w:rPr>
      </w:pPr>
      <w:r w:rsidRPr="009450CC">
        <w:rPr>
          <w:sz w:val="24"/>
          <w:szCs w:val="24"/>
        </w:rPr>
        <w:lastRenderedPageBreak/>
        <w:t>{</w:t>
      </w:r>
      <w:r>
        <w:rPr>
          <w:sz w:val="24"/>
          <w:szCs w:val="24"/>
        </w:rPr>
        <w:t>Chart index</w:t>
      </w:r>
      <w:r w:rsidRPr="009450CC">
        <w:rPr>
          <w:sz w:val="24"/>
          <w:szCs w:val="24"/>
        </w:rPr>
        <w:t>}</w:t>
      </w:r>
      <w:r>
        <w:rPr>
          <w:sz w:val="24"/>
          <w:szCs w:val="24"/>
        </w:rPr>
        <w:t xml:space="preserve"> shows the accumulated cases </w:t>
      </w:r>
      <w:r>
        <w:rPr>
          <w:sz w:val="24"/>
          <w:szCs w:val="24"/>
        </w:rPr>
        <w:t xml:space="preserve">in the map by postal area (closest shape file related to postcode which is what the Covid-19 case data is reported from). </w:t>
      </w:r>
      <w:r w:rsidR="00DD68EA">
        <w:rPr>
          <w:sz w:val="24"/>
          <w:szCs w:val="24"/>
        </w:rPr>
        <w:t xml:space="preserve">The locations of the three clusters are shown here. The Western Sydney cluster seems to have spread more widely than the other two beach clusters. It is conceivable that the flow of people from the beaches can be more scattered thus hard to predict. Consequently, there is a higher chance for </w:t>
      </w:r>
      <w:r w:rsidR="000F664A">
        <w:rPr>
          <w:sz w:val="24"/>
          <w:szCs w:val="24"/>
        </w:rPr>
        <w:t>our</w:t>
      </w:r>
      <w:r w:rsidR="00DD68EA">
        <w:rPr>
          <w:sz w:val="24"/>
          <w:szCs w:val="24"/>
        </w:rPr>
        <w:t xml:space="preserve"> clustering algorithm to “predict” the spread of the virus </w:t>
      </w:r>
      <w:r w:rsidR="000F664A">
        <w:rPr>
          <w:sz w:val="24"/>
          <w:szCs w:val="24"/>
        </w:rPr>
        <w:t>in</w:t>
      </w:r>
      <w:r w:rsidR="00DD68EA">
        <w:rPr>
          <w:sz w:val="24"/>
          <w:szCs w:val="24"/>
        </w:rPr>
        <w:t xml:space="preserve"> the Western Sydney area. </w:t>
      </w:r>
    </w:p>
    <w:p w14:paraId="587E1FD7" w14:textId="11250015" w:rsidR="0048511C" w:rsidRDefault="0048511C" w:rsidP="00AA1D37">
      <w:pPr>
        <w:rPr>
          <w:sz w:val="24"/>
          <w:szCs w:val="24"/>
        </w:rPr>
      </w:pPr>
      <w:r>
        <w:rPr>
          <w:noProof/>
        </w:rPr>
        <w:drawing>
          <wp:inline distT="0" distB="0" distL="0" distR="0" wp14:anchorId="1BF7E5CD" wp14:editId="075FDDF4">
            <wp:extent cx="5731510" cy="41706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70680"/>
                    </a:xfrm>
                    <a:prstGeom prst="rect">
                      <a:avLst/>
                    </a:prstGeom>
                  </pic:spPr>
                </pic:pic>
              </a:graphicData>
            </a:graphic>
          </wp:inline>
        </w:drawing>
      </w:r>
    </w:p>
    <w:p w14:paraId="5380D4E8" w14:textId="08A13E09" w:rsidR="00DD68EA" w:rsidRDefault="000F664A" w:rsidP="00AA1D37">
      <w:pPr>
        <w:rPr>
          <w:sz w:val="24"/>
          <w:szCs w:val="24"/>
        </w:rPr>
      </w:pPr>
      <w:r w:rsidRPr="009450CC">
        <w:rPr>
          <w:sz w:val="24"/>
          <w:szCs w:val="24"/>
        </w:rPr>
        <w:t>{</w:t>
      </w:r>
      <w:r>
        <w:rPr>
          <w:sz w:val="24"/>
          <w:szCs w:val="24"/>
        </w:rPr>
        <w:t>Chart index</w:t>
      </w:r>
      <w:r w:rsidRPr="009450CC">
        <w:rPr>
          <w:sz w:val="24"/>
          <w:szCs w:val="24"/>
        </w:rPr>
        <w:t>}</w:t>
      </w:r>
      <w:r>
        <w:rPr>
          <w:sz w:val="24"/>
          <w:szCs w:val="24"/>
        </w:rPr>
        <w:t xml:space="preserve"> shows the accumulated cases over time. </w:t>
      </w:r>
      <w:r w:rsidR="00E30D4A">
        <w:rPr>
          <w:sz w:val="24"/>
          <w:szCs w:val="24"/>
        </w:rPr>
        <w:t xml:space="preserve">It appears that the Wester Sydney cluster could be originated from the further west area of Cambridge Park, before it spread out to the middle of the Western Sydney area which is close to a local transportation hub. </w:t>
      </w:r>
    </w:p>
    <w:p w14:paraId="166C2A4B" w14:textId="5C8511C1" w:rsidR="00DD68EA" w:rsidRPr="009450CC" w:rsidRDefault="00DD68EA" w:rsidP="00AA1D37">
      <w:pPr>
        <w:rPr>
          <w:sz w:val="24"/>
          <w:szCs w:val="24"/>
        </w:rPr>
      </w:pPr>
      <w:r>
        <w:rPr>
          <w:noProof/>
        </w:rPr>
        <w:lastRenderedPageBreak/>
        <w:drawing>
          <wp:inline distT="0" distB="0" distL="0" distR="0" wp14:anchorId="78070FCC" wp14:editId="086B22DC">
            <wp:extent cx="5731510" cy="41516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51630"/>
                    </a:xfrm>
                    <a:prstGeom prst="rect">
                      <a:avLst/>
                    </a:prstGeom>
                  </pic:spPr>
                </pic:pic>
              </a:graphicData>
            </a:graphic>
          </wp:inline>
        </w:drawing>
      </w:r>
    </w:p>
    <w:p w14:paraId="33BAEC17" w14:textId="4E21B0FE" w:rsidR="00006FDF" w:rsidRPr="00006FDF" w:rsidRDefault="00006FDF" w:rsidP="00223DAD">
      <w:pPr>
        <w:pStyle w:val="ListParagraph"/>
        <w:numPr>
          <w:ilvl w:val="1"/>
          <w:numId w:val="2"/>
        </w:numPr>
        <w:rPr>
          <w:b/>
          <w:bCs/>
          <w:sz w:val="24"/>
          <w:szCs w:val="24"/>
        </w:rPr>
      </w:pPr>
      <w:r>
        <w:rPr>
          <w:b/>
          <w:bCs/>
          <w:sz w:val="24"/>
          <w:szCs w:val="24"/>
        </w:rPr>
        <w:t>Motivation of the gravity model</w:t>
      </w:r>
    </w:p>
    <w:p w14:paraId="2C9F752C" w14:textId="12871E05" w:rsidR="00223DAD" w:rsidRDefault="00223DAD" w:rsidP="00223DAD">
      <w:pPr>
        <w:rPr>
          <w:sz w:val="24"/>
          <w:szCs w:val="24"/>
        </w:rPr>
      </w:pPr>
      <w:r w:rsidRPr="00223DAD">
        <w:rPr>
          <w:sz w:val="24"/>
          <w:szCs w:val="24"/>
        </w:rPr>
        <w:t>{</w:t>
      </w:r>
      <w:r>
        <w:rPr>
          <w:sz w:val="24"/>
          <w:szCs w:val="24"/>
        </w:rPr>
        <w:t>chart index</w:t>
      </w:r>
      <w:r w:rsidRPr="00223DAD">
        <w:rPr>
          <w:sz w:val="24"/>
          <w:szCs w:val="24"/>
        </w:rPr>
        <w:t>}</w:t>
      </w:r>
      <w:r>
        <w:rPr>
          <w:sz w:val="24"/>
          <w:szCs w:val="24"/>
        </w:rPr>
        <w:t xml:space="preserve"> overlays the public transportation network on top of the choropleth (heatmap)</w:t>
      </w:r>
      <w:r w:rsidR="00A616CF">
        <w:rPr>
          <w:sz w:val="24"/>
          <w:szCs w:val="24"/>
        </w:rPr>
        <w:t xml:space="preserve">. It can be seen more clearly how the virus might have been transmitted along the train lines. This inspires the use of the Gravity Models to measure the level of “connectivity” between areas </w:t>
      </w:r>
      <w:r w:rsidR="00006FDF">
        <w:rPr>
          <w:sz w:val="24"/>
          <w:szCs w:val="24"/>
        </w:rPr>
        <w:t>to</w:t>
      </w:r>
      <w:r w:rsidR="00A616CF">
        <w:rPr>
          <w:sz w:val="24"/>
          <w:szCs w:val="24"/>
        </w:rPr>
        <w:t xml:space="preserve"> predict the spread of the virus (see details in section 2.1</w:t>
      </w:r>
      <w:r w:rsidR="00EA792A">
        <w:rPr>
          <w:sz w:val="24"/>
          <w:szCs w:val="24"/>
        </w:rPr>
        <w:t>)</w:t>
      </w:r>
      <w:r w:rsidR="00A616CF">
        <w:rPr>
          <w:sz w:val="24"/>
          <w:szCs w:val="24"/>
        </w:rPr>
        <w:t xml:space="preserve">. </w:t>
      </w:r>
    </w:p>
    <w:p w14:paraId="1D2FCEB0" w14:textId="77777777" w:rsidR="00006FDF" w:rsidRDefault="00006FDF" w:rsidP="00223DAD">
      <w:pPr>
        <w:rPr>
          <w:sz w:val="24"/>
          <w:szCs w:val="24"/>
        </w:rPr>
      </w:pPr>
    </w:p>
    <w:p w14:paraId="2DA0CD72" w14:textId="4E18EC7C" w:rsidR="00223DAD" w:rsidRDefault="00223DAD" w:rsidP="00223DAD">
      <w:pPr>
        <w:rPr>
          <w:sz w:val="24"/>
          <w:szCs w:val="24"/>
        </w:rPr>
      </w:pPr>
      <w:r>
        <w:rPr>
          <w:noProof/>
        </w:rPr>
        <w:lastRenderedPageBreak/>
        <w:drawing>
          <wp:inline distT="0" distB="0" distL="0" distR="0" wp14:anchorId="6BD3F2D7" wp14:editId="05AAC27F">
            <wp:extent cx="5378908" cy="401540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6667" cy="4028666"/>
                    </a:xfrm>
                    <a:prstGeom prst="rect">
                      <a:avLst/>
                    </a:prstGeom>
                  </pic:spPr>
                </pic:pic>
              </a:graphicData>
            </a:graphic>
          </wp:inline>
        </w:drawing>
      </w:r>
    </w:p>
    <w:p w14:paraId="2D3533E1" w14:textId="1433C2F2" w:rsidR="00006FDF" w:rsidRDefault="00006FDF" w:rsidP="00223DAD">
      <w:pPr>
        <w:rPr>
          <w:sz w:val="24"/>
          <w:szCs w:val="24"/>
        </w:rPr>
      </w:pPr>
      <w:r>
        <w:rPr>
          <w:sz w:val="24"/>
          <w:szCs w:val="24"/>
        </w:rPr>
        <w:t xml:space="preserve">The same pattern can be witnessed if we look at the number of supermarkets in each postal </w:t>
      </w:r>
      <w:r w:rsidR="00693A7F">
        <w:rPr>
          <w:sz w:val="24"/>
          <w:szCs w:val="24"/>
        </w:rPr>
        <w:t>area</w:t>
      </w:r>
      <w:r>
        <w:rPr>
          <w:sz w:val="24"/>
          <w:szCs w:val="24"/>
        </w:rPr>
        <w:t xml:space="preserve">. </w:t>
      </w:r>
    </w:p>
    <w:p w14:paraId="349B72FC" w14:textId="4610C09A" w:rsidR="00006FDF" w:rsidRPr="00006FDF" w:rsidRDefault="00006FDF" w:rsidP="00223DAD">
      <w:pPr>
        <w:rPr>
          <w:b/>
          <w:bCs/>
          <w:sz w:val="24"/>
          <w:szCs w:val="24"/>
        </w:rPr>
      </w:pPr>
      <w:r>
        <w:rPr>
          <w:noProof/>
        </w:rPr>
        <w:drawing>
          <wp:inline distT="0" distB="0" distL="0" distR="0" wp14:anchorId="0BB9B308" wp14:editId="7F21A809">
            <wp:extent cx="5478449" cy="3938583"/>
            <wp:effectExtent l="0" t="0" r="825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5811" cy="3965443"/>
                    </a:xfrm>
                    <a:prstGeom prst="rect">
                      <a:avLst/>
                    </a:prstGeom>
                  </pic:spPr>
                </pic:pic>
              </a:graphicData>
            </a:graphic>
          </wp:inline>
        </w:drawing>
      </w:r>
    </w:p>
    <w:p w14:paraId="30DB4435" w14:textId="05FD226D" w:rsidR="00006FDF" w:rsidRPr="00006FDF" w:rsidRDefault="00006FDF" w:rsidP="00006FDF">
      <w:pPr>
        <w:pStyle w:val="ListParagraph"/>
        <w:numPr>
          <w:ilvl w:val="1"/>
          <w:numId w:val="2"/>
        </w:numPr>
        <w:rPr>
          <w:b/>
          <w:bCs/>
          <w:sz w:val="24"/>
          <w:szCs w:val="24"/>
        </w:rPr>
      </w:pPr>
      <w:r>
        <w:rPr>
          <w:b/>
          <w:bCs/>
          <w:sz w:val="24"/>
          <w:szCs w:val="24"/>
        </w:rPr>
        <w:lastRenderedPageBreak/>
        <w:t xml:space="preserve">Motivation of the </w:t>
      </w:r>
      <w:r>
        <w:rPr>
          <w:b/>
          <w:bCs/>
          <w:sz w:val="24"/>
          <w:szCs w:val="24"/>
        </w:rPr>
        <w:t>homophily model</w:t>
      </w:r>
    </w:p>
    <w:p w14:paraId="4D4933DF" w14:textId="1F0B3D5E" w:rsidR="00006FDF" w:rsidRPr="00223DAD" w:rsidRDefault="00006FDF" w:rsidP="00223DAD">
      <w:pPr>
        <w:rPr>
          <w:sz w:val="24"/>
          <w:szCs w:val="24"/>
        </w:rPr>
      </w:pPr>
      <w:r>
        <w:rPr>
          <w:sz w:val="24"/>
          <w:szCs w:val="24"/>
        </w:rPr>
        <w:t xml:space="preserve">Need a map showing % of ethnic groups, etc., to demonstrate the existence of homophily in the geographic area. </w:t>
      </w:r>
    </w:p>
    <w:p w14:paraId="05D16682" w14:textId="20CA6BEC" w:rsidR="002C5280" w:rsidRDefault="002C5280" w:rsidP="002C5280">
      <w:pPr>
        <w:pStyle w:val="ListParagraph"/>
        <w:numPr>
          <w:ilvl w:val="1"/>
          <w:numId w:val="2"/>
        </w:numPr>
        <w:rPr>
          <w:b/>
          <w:bCs/>
          <w:sz w:val="24"/>
          <w:szCs w:val="24"/>
        </w:rPr>
      </w:pPr>
      <w:r w:rsidRPr="00DA4FAF">
        <w:rPr>
          <w:b/>
          <w:bCs/>
          <w:sz w:val="24"/>
          <w:szCs w:val="24"/>
        </w:rPr>
        <w:t>User story</w:t>
      </w:r>
    </w:p>
    <w:p w14:paraId="109B0472" w14:textId="1B6E9F06" w:rsidR="00693A7F" w:rsidRPr="00693A7F" w:rsidRDefault="00693A7F" w:rsidP="00693A7F">
      <w:pPr>
        <w:rPr>
          <w:sz w:val="24"/>
          <w:szCs w:val="24"/>
        </w:rPr>
      </w:pPr>
      <w:r>
        <w:rPr>
          <w:sz w:val="24"/>
          <w:szCs w:val="24"/>
        </w:rPr>
        <w:t>Example of lockdown around the world, how the lockdown area</w:t>
      </w:r>
      <w:r w:rsidR="00530C57">
        <w:rPr>
          <w:sz w:val="24"/>
          <w:szCs w:val="24"/>
        </w:rPr>
        <w:t>s</w:t>
      </w:r>
      <w:r>
        <w:rPr>
          <w:sz w:val="24"/>
          <w:szCs w:val="24"/>
        </w:rPr>
        <w:t xml:space="preserve"> </w:t>
      </w:r>
      <w:r w:rsidR="00530C57">
        <w:rPr>
          <w:sz w:val="24"/>
          <w:szCs w:val="24"/>
        </w:rPr>
        <w:t>were</w:t>
      </w:r>
      <w:r>
        <w:rPr>
          <w:sz w:val="24"/>
          <w:szCs w:val="24"/>
        </w:rPr>
        <w:t xml:space="preserve"> chosen and why our clustering method can be helpful. </w:t>
      </w:r>
    </w:p>
    <w:p w14:paraId="1C750AEB" w14:textId="7CC80666" w:rsidR="004B2D39" w:rsidRPr="00DA4FAF" w:rsidRDefault="004B2D39" w:rsidP="002C5280">
      <w:pPr>
        <w:pStyle w:val="ListParagraph"/>
        <w:numPr>
          <w:ilvl w:val="1"/>
          <w:numId w:val="2"/>
        </w:numPr>
        <w:rPr>
          <w:b/>
          <w:bCs/>
          <w:sz w:val="24"/>
          <w:szCs w:val="24"/>
        </w:rPr>
      </w:pPr>
      <w:r w:rsidRPr="00DA4FAF">
        <w:rPr>
          <w:b/>
          <w:bCs/>
          <w:sz w:val="24"/>
          <w:szCs w:val="24"/>
        </w:rPr>
        <w:t>Literature review</w:t>
      </w:r>
    </w:p>
    <w:p w14:paraId="6CA00CEF" w14:textId="3E724106" w:rsidR="00693A7F" w:rsidRDefault="00693A7F">
      <w:pPr>
        <w:rPr>
          <w:sz w:val="24"/>
          <w:szCs w:val="24"/>
        </w:rPr>
      </w:pPr>
      <w:r>
        <w:rPr>
          <w:sz w:val="24"/>
          <w:szCs w:val="24"/>
        </w:rPr>
        <w:t xml:space="preserve">One paragraph on gravity model. </w:t>
      </w:r>
    </w:p>
    <w:p w14:paraId="40355ED1" w14:textId="02435133" w:rsidR="00693A7F" w:rsidRPr="00DA4FAF" w:rsidRDefault="00693A7F">
      <w:pPr>
        <w:rPr>
          <w:sz w:val="24"/>
          <w:szCs w:val="24"/>
        </w:rPr>
      </w:pPr>
      <w:r>
        <w:rPr>
          <w:sz w:val="24"/>
          <w:szCs w:val="24"/>
        </w:rPr>
        <w:t>One paragraph on the homophily principle.</w:t>
      </w:r>
    </w:p>
    <w:p w14:paraId="6A4CD0AA" w14:textId="4027FDFE" w:rsidR="002C5280" w:rsidRPr="00DA4FAF" w:rsidRDefault="002C5280" w:rsidP="002C5280">
      <w:pPr>
        <w:pStyle w:val="ListParagraph"/>
        <w:numPr>
          <w:ilvl w:val="0"/>
          <w:numId w:val="2"/>
        </w:numPr>
        <w:rPr>
          <w:b/>
          <w:bCs/>
          <w:sz w:val="24"/>
          <w:szCs w:val="24"/>
        </w:rPr>
      </w:pPr>
      <w:r w:rsidRPr="00DA4FAF">
        <w:rPr>
          <w:b/>
          <w:bCs/>
          <w:sz w:val="24"/>
          <w:szCs w:val="24"/>
        </w:rPr>
        <w:t>Methodology</w:t>
      </w:r>
    </w:p>
    <w:p w14:paraId="5947BE35" w14:textId="692A5D1B" w:rsidR="002C5280" w:rsidRDefault="002C5280" w:rsidP="002C5280">
      <w:pPr>
        <w:pStyle w:val="ListParagraph"/>
        <w:numPr>
          <w:ilvl w:val="1"/>
          <w:numId w:val="2"/>
        </w:numPr>
        <w:rPr>
          <w:b/>
          <w:bCs/>
          <w:sz w:val="24"/>
          <w:szCs w:val="24"/>
        </w:rPr>
      </w:pPr>
      <w:r w:rsidRPr="00DA4FAF">
        <w:rPr>
          <w:b/>
          <w:bCs/>
          <w:sz w:val="24"/>
          <w:szCs w:val="24"/>
        </w:rPr>
        <w:t>The Gravity Model</w:t>
      </w:r>
    </w:p>
    <w:p w14:paraId="1942B625" w14:textId="7DEB8313" w:rsidR="00695E7E" w:rsidRDefault="00695E7E" w:rsidP="00695E7E">
      <w:pPr>
        <w:rPr>
          <w:sz w:val="24"/>
          <w:szCs w:val="24"/>
        </w:rPr>
      </w:pPr>
      <w:hyperlink r:id="rId12" w:history="1">
        <w:r w:rsidRPr="00B81BC9">
          <w:rPr>
            <w:rStyle w:val="Hyperlink"/>
            <w:sz w:val="24"/>
            <w:szCs w:val="24"/>
          </w:rPr>
          <w:t>https://oxfordre.com/economics/view/10.1093/acrefore/9780190625979.001.0001/acrefore-9780190625979-e-327#acrefore-9780190625979-e-327-bibItem-0048</w:t>
        </w:r>
      </w:hyperlink>
      <w:r>
        <w:rPr>
          <w:sz w:val="24"/>
          <w:szCs w:val="24"/>
        </w:rPr>
        <w:t xml:space="preserve"> </w:t>
      </w:r>
    </w:p>
    <w:p w14:paraId="4F1076D9" w14:textId="77777777" w:rsidR="00695E7E" w:rsidRPr="00695E7E" w:rsidRDefault="00695E7E" w:rsidP="00695E7E">
      <w:pPr>
        <w:rPr>
          <w:sz w:val="24"/>
          <w:szCs w:val="24"/>
        </w:rPr>
      </w:pPr>
    </w:p>
    <w:p w14:paraId="42BCF1C4" w14:textId="3567DE95" w:rsidR="00695E7E" w:rsidRDefault="00695E7E" w:rsidP="002C5280">
      <w:pPr>
        <w:pStyle w:val="ListParagraph"/>
        <w:numPr>
          <w:ilvl w:val="1"/>
          <w:numId w:val="2"/>
        </w:numPr>
        <w:rPr>
          <w:b/>
          <w:bCs/>
          <w:sz w:val="24"/>
          <w:szCs w:val="24"/>
        </w:rPr>
      </w:pPr>
      <w:r>
        <w:rPr>
          <w:b/>
          <w:bCs/>
          <w:sz w:val="24"/>
          <w:szCs w:val="24"/>
        </w:rPr>
        <w:t>The Homophily Principle</w:t>
      </w:r>
    </w:p>
    <w:p w14:paraId="6CD2B8FE" w14:textId="6260B0BB" w:rsidR="00695E7E" w:rsidRDefault="00695E7E" w:rsidP="00695E7E">
      <w:pPr>
        <w:rPr>
          <w:sz w:val="24"/>
          <w:szCs w:val="24"/>
        </w:rPr>
      </w:pPr>
      <w:hyperlink r:id="rId13" w:history="1">
        <w:r w:rsidRPr="00B81BC9">
          <w:rPr>
            <w:rStyle w:val="Hyperlink"/>
            <w:sz w:val="24"/>
            <w:szCs w:val="24"/>
          </w:rPr>
          <w:t>https://www.annualreviews.org/doi/abs/10.1146/annurev.soc.27.1.415?journalCode=soc</w:t>
        </w:r>
      </w:hyperlink>
      <w:r>
        <w:rPr>
          <w:sz w:val="24"/>
          <w:szCs w:val="24"/>
        </w:rPr>
        <w:t xml:space="preserve"> </w:t>
      </w:r>
    </w:p>
    <w:p w14:paraId="3268EA26" w14:textId="77777777" w:rsidR="00695E7E" w:rsidRPr="00695E7E" w:rsidRDefault="00695E7E" w:rsidP="00695E7E">
      <w:pPr>
        <w:rPr>
          <w:sz w:val="24"/>
          <w:szCs w:val="24"/>
        </w:rPr>
      </w:pPr>
    </w:p>
    <w:p w14:paraId="3657EAC3" w14:textId="3EB850B1" w:rsidR="00695E7E" w:rsidRDefault="00695E7E" w:rsidP="002C5280">
      <w:pPr>
        <w:pStyle w:val="ListParagraph"/>
        <w:numPr>
          <w:ilvl w:val="1"/>
          <w:numId w:val="2"/>
        </w:numPr>
        <w:rPr>
          <w:b/>
          <w:bCs/>
          <w:sz w:val="24"/>
          <w:szCs w:val="24"/>
        </w:rPr>
      </w:pPr>
      <w:r>
        <w:rPr>
          <w:b/>
          <w:bCs/>
          <w:sz w:val="24"/>
          <w:szCs w:val="24"/>
        </w:rPr>
        <w:t>Geospatial Clustering</w:t>
      </w:r>
    </w:p>
    <w:p w14:paraId="3FFC5E4F" w14:textId="19FD1951" w:rsidR="00695E7E" w:rsidRPr="00695E7E" w:rsidRDefault="00695E7E" w:rsidP="00695E7E">
      <w:pPr>
        <w:rPr>
          <w:sz w:val="24"/>
          <w:szCs w:val="24"/>
        </w:rPr>
      </w:pPr>
      <w:hyperlink r:id="rId14" w:history="1">
        <w:r w:rsidRPr="00B81BC9">
          <w:rPr>
            <w:rStyle w:val="Hyperlink"/>
            <w:sz w:val="24"/>
            <w:szCs w:val="24"/>
          </w:rPr>
          <w:t>https://towardsdatascience.com/geospatial-clustering-kinds-and-uses-9aef7601f386</w:t>
        </w:r>
      </w:hyperlink>
      <w:r>
        <w:rPr>
          <w:sz w:val="24"/>
          <w:szCs w:val="24"/>
        </w:rPr>
        <w:t xml:space="preserve"> </w:t>
      </w:r>
    </w:p>
    <w:p w14:paraId="7CCA6BB3" w14:textId="77777777" w:rsidR="002C5280" w:rsidRPr="00DA4FAF" w:rsidRDefault="002C5280" w:rsidP="002C5280">
      <w:pPr>
        <w:rPr>
          <w:sz w:val="24"/>
          <w:szCs w:val="24"/>
        </w:rPr>
      </w:pPr>
    </w:p>
    <w:p w14:paraId="2DC1DFD0" w14:textId="2B7D94FB" w:rsidR="002C5280" w:rsidRPr="00DA4FAF" w:rsidRDefault="002C5280" w:rsidP="002C5280">
      <w:pPr>
        <w:pStyle w:val="ListParagraph"/>
        <w:numPr>
          <w:ilvl w:val="0"/>
          <w:numId w:val="2"/>
        </w:numPr>
        <w:rPr>
          <w:b/>
          <w:bCs/>
          <w:sz w:val="24"/>
          <w:szCs w:val="24"/>
        </w:rPr>
      </w:pPr>
      <w:r w:rsidRPr="00DA4FAF">
        <w:rPr>
          <w:b/>
          <w:bCs/>
          <w:sz w:val="24"/>
          <w:szCs w:val="24"/>
        </w:rPr>
        <w:t>Data</w:t>
      </w:r>
    </w:p>
    <w:p w14:paraId="0BC930FC" w14:textId="70AFA39F" w:rsidR="002C5280" w:rsidRDefault="002C5280" w:rsidP="002C5280">
      <w:pPr>
        <w:pStyle w:val="ListParagraph"/>
        <w:numPr>
          <w:ilvl w:val="1"/>
          <w:numId w:val="2"/>
        </w:numPr>
        <w:rPr>
          <w:b/>
          <w:bCs/>
          <w:sz w:val="24"/>
          <w:szCs w:val="24"/>
        </w:rPr>
      </w:pPr>
      <w:r w:rsidRPr="00DA4FAF">
        <w:rPr>
          <w:b/>
          <w:bCs/>
          <w:sz w:val="24"/>
          <w:szCs w:val="24"/>
        </w:rPr>
        <w:t xml:space="preserve">Covid-19 </w:t>
      </w:r>
      <w:r w:rsidR="00C74DE0" w:rsidRPr="00DA4FAF">
        <w:rPr>
          <w:b/>
          <w:bCs/>
          <w:sz w:val="24"/>
          <w:szCs w:val="24"/>
        </w:rPr>
        <w:t>confirmed cases SYD/AU</w:t>
      </w:r>
    </w:p>
    <w:p w14:paraId="1D24F1F1" w14:textId="45AC41EA" w:rsidR="00695E7E" w:rsidRDefault="00695E7E" w:rsidP="00695E7E">
      <w:pPr>
        <w:rPr>
          <w:rFonts w:ascii="Arial" w:hAnsi="Arial" w:cs="Arial"/>
          <w:shd w:val="clear" w:color="auto" w:fill="E4E8EE"/>
        </w:rPr>
      </w:pPr>
      <w:hyperlink r:id="rId15" w:history="1">
        <w:r w:rsidRPr="00B81BC9">
          <w:rPr>
            <w:rStyle w:val="Hyperlink"/>
            <w:rFonts w:ascii="Arial" w:hAnsi="Arial" w:cs="Arial"/>
            <w:shd w:val="clear" w:color="auto" w:fill="E4E8EE"/>
          </w:rPr>
          <w:t>https://data.nsw.gov.au/data/dataset/nsw-covid-19-cases-by-location-and-likely-source-of-infection/resource/2776dbb8-f807-4fb2-b1ed-184a6fc2c8aa</w:t>
        </w:r>
      </w:hyperlink>
    </w:p>
    <w:p w14:paraId="7C699B1A" w14:textId="77777777" w:rsidR="00695E7E" w:rsidRDefault="00695E7E" w:rsidP="00695E7E">
      <w:pPr>
        <w:rPr>
          <w:rFonts w:ascii="Arial" w:hAnsi="Arial" w:cs="Arial"/>
          <w:shd w:val="clear" w:color="auto" w:fill="E4E8EE"/>
        </w:rPr>
      </w:pPr>
    </w:p>
    <w:p w14:paraId="496BBD50" w14:textId="27ED3219" w:rsidR="00C74DE0" w:rsidRDefault="00C74DE0" w:rsidP="002C5280">
      <w:pPr>
        <w:pStyle w:val="ListParagraph"/>
        <w:numPr>
          <w:ilvl w:val="1"/>
          <w:numId w:val="2"/>
        </w:numPr>
        <w:rPr>
          <w:b/>
          <w:bCs/>
          <w:sz w:val="24"/>
          <w:szCs w:val="24"/>
        </w:rPr>
      </w:pPr>
      <w:r w:rsidRPr="00DA4FAF">
        <w:rPr>
          <w:b/>
          <w:bCs/>
          <w:sz w:val="24"/>
          <w:szCs w:val="24"/>
        </w:rPr>
        <w:t>Suburb demographic data SYD/AU</w:t>
      </w:r>
    </w:p>
    <w:p w14:paraId="700F67CB" w14:textId="77777777" w:rsidR="00695E7E" w:rsidRPr="00695E7E" w:rsidRDefault="00695E7E" w:rsidP="00695E7E">
      <w:pPr>
        <w:rPr>
          <w:sz w:val="24"/>
          <w:szCs w:val="24"/>
        </w:rPr>
      </w:pPr>
    </w:p>
    <w:p w14:paraId="2FD8ACFA" w14:textId="7A756272" w:rsidR="00C74DE0" w:rsidRDefault="00C74DE0" w:rsidP="002C5280">
      <w:pPr>
        <w:pStyle w:val="ListParagraph"/>
        <w:numPr>
          <w:ilvl w:val="1"/>
          <w:numId w:val="2"/>
        </w:numPr>
        <w:rPr>
          <w:b/>
          <w:bCs/>
          <w:sz w:val="24"/>
          <w:szCs w:val="24"/>
        </w:rPr>
      </w:pPr>
      <w:r w:rsidRPr="00DA4FAF">
        <w:rPr>
          <w:b/>
          <w:bCs/>
          <w:sz w:val="24"/>
          <w:szCs w:val="24"/>
        </w:rPr>
        <w:t>SSC to POA mapping</w:t>
      </w:r>
    </w:p>
    <w:p w14:paraId="044EAD26" w14:textId="3675A5FA" w:rsidR="00695E7E" w:rsidRDefault="00695E7E" w:rsidP="00695E7E">
      <w:pPr>
        <w:rPr>
          <w:sz w:val="24"/>
          <w:szCs w:val="24"/>
        </w:rPr>
      </w:pPr>
      <w:r>
        <w:rPr>
          <w:sz w:val="24"/>
          <w:szCs w:val="24"/>
        </w:rPr>
        <w:t>ABS data explanation</w:t>
      </w:r>
    </w:p>
    <w:p w14:paraId="3CC0BCEC" w14:textId="2DCA8896" w:rsidR="00695E7E" w:rsidRDefault="00695E7E" w:rsidP="00695E7E">
      <w:pPr>
        <w:rPr>
          <w:sz w:val="24"/>
          <w:szCs w:val="24"/>
        </w:rPr>
      </w:pPr>
      <w:hyperlink r:id="rId16" w:history="1">
        <w:r w:rsidRPr="00B81BC9">
          <w:rPr>
            <w:rStyle w:val="Hyperlink"/>
            <w:sz w:val="24"/>
            <w:szCs w:val="24"/>
          </w:rPr>
          <w:t>https://www.abs.gov.au/websitedbs/censushome.nsf/home/factsheetsnas?opendocument&amp;navpos=450</w:t>
        </w:r>
      </w:hyperlink>
    </w:p>
    <w:p w14:paraId="4141A8B5" w14:textId="77777777" w:rsidR="00695E7E" w:rsidRPr="00695E7E" w:rsidRDefault="00695E7E" w:rsidP="00695E7E">
      <w:pPr>
        <w:rPr>
          <w:sz w:val="24"/>
          <w:szCs w:val="24"/>
        </w:rPr>
      </w:pPr>
      <w:r>
        <w:rPr>
          <w:noProof/>
        </w:rPr>
        <w:lastRenderedPageBreak/>
        <w:drawing>
          <wp:inline distT="0" distB="0" distL="0" distR="0" wp14:anchorId="75287668" wp14:editId="2C535DA8">
            <wp:extent cx="2751151" cy="195409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4543" cy="1963603"/>
                    </a:xfrm>
                    <a:prstGeom prst="rect">
                      <a:avLst/>
                    </a:prstGeom>
                  </pic:spPr>
                </pic:pic>
              </a:graphicData>
            </a:graphic>
          </wp:inline>
        </w:drawing>
      </w:r>
    </w:p>
    <w:p w14:paraId="6BC7D3A7" w14:textId="3A92B93B" w:rsidR="00C74DE0" w:rsidRDefault="00695E7E" w:rsidP="00C74DE0">
      <w:pPr>
        <w:rPr>
          <w:sz w:val="24"/>
          <w:szCs w:val="24"/>
        </w:rPr>
      </w:pPr>
      <w:r>
        <w:rPr>
          <w:sz w:val="24"/>
          <w:szCs w:val="24"/>
        </w:rPr>
        <w:t xml:space="preserve">Data source (mapping to </w:t>
      </w:r>
      <w:proofErr w:type="spellStart"/>
      <w:r>
        <w:rPr>
          <w:sz w:val="24"/>
          <w:szCs w:val="24"/>
        </w:rPr>
        <w:t>meshblock</w:t>
      </w:r>
      <w:proofErr w:type="spellEnd"/>
      <w:r>
        <w:rPr>
          <w:sz w:val="24"/>
          <w:szCs w:val="24"/>
        </w:rPr>
        <w:t xml:space="preserve">) - </w:t>
      </w:r>
      <w:hyperlink r:id="rId18" w:history="1">
        <w:r w:rsidRPr="00B81BC9">
          <w:rPr>
            <w:rStyle w:val="Hyperlink"/>
            <w:sz w:val="24"/>
            <w:szCs w:val="24"/>
          </w:rPr>
          <w:t>https://www.abs.gov.au/AUSSTATS/abs@.nsf/DetailsPage/1270.0.55.003July%202016?OpenDocument</w:t>
        </w:r>
      </w:hyperlink>
      <w:r>
        <w:rPr>
          <w:sz w:val="24"/>
          <w:szCs w:val="24"/>
        </w:rPr>
        <w:t xml:space="preserve"> </w:t>
      </w:r>
    </w:p>
    <w:p w14:paraId="29D8CEE6" w14:textId="77777777" w:rsidR="00695E7E" w:rsidRPr="00DA4FAF" w:rsidRDefault="00695E7E" w:rsidP="00C74DE0">
      <w:pPr>
        <w:rPr>
          <w:sz w:val="24"/>
          <w:szCs w:val="24"/>
        </w:rPr>
      </w:pPr>
    </w:p>
    <w:p w14:paraId="03B7C15A" w14:textId="5C987BF4" w:rsidR="00C74DE0" w:rsidRPr="00DA4FAF" w:rsidRDefault="00C74DE0" w:rsidP="00C74DE0">
      <w:pPr>
        <w:pStyle w:val="ListParagraph"/>
        <w:numPr>
          <w:ilvl w:val="0"/>
          <w:numId w:val="2"/>
        </w:numPr>
        <w:rPr>
          <w:b/>
          <w:bCs/>
          <w:sz w:val="24"/>
          <w:szCs w:val="24"/>
        </w:rPr>
      </w:pPr>
      <w:r w:rsidRPr="00DA4FAF">
        <w:rPr>
          <w:b/>
          <w:bCs/>
          <w:sz w:val="24"/>
          <w:szCs w:val="24"/>
        </w:rPr>
        <w:t>Model outcome</w:t>
      </w:r>
    </w:p>
    <w:p w14:paraId="42A1C75D" w14:textId="77777777" w:rsidR="00C74DE0" w:rsidRPr="00DA4FAF" w:rsidRDefault="00C74DE0" w:rsidP="00C74DE0">
      <w:pPr>
        <w:rPr>
          <w:sz w:val="24"/>
          <w:szCs w:val="24"/>
        </w:rPr>
      </w:pPr>
    </w:p>
    <w:p w14:paraId="1D30CC32" w14:textId="60D81881" w:rsidR="00C74DE0" w:rsidRPr="00DA4FAF" w:rsidRDefault="00C74DE0" w:rsidP="00C74DE0">
      <w:pPr>
        <w:pStyle w:val="ListParagraph"/>
        <w:numPr>
          <w:ilvl w:val="0"/>
          <w:numId w:val="2"/>
        </w:numPr>
        <w:rPr>
          <w:b/>
          <w:bCs/>
          <w:sz w:val="24"/>
          <w:szCs w:val="24"/>
        </w:rPr>
      </w:pPr>
      <w:r w:rsidRPr="00DA4FAF">
        <w:rPr>
          <w:b/>
          <w:bCs/>
          <w:sz w:val="24"/>
          <w:szCs w:val="24"/>
        </w:rPr>
        <w:t>Model Evaluation</w:t>
      </w:r>
    </w:p>
    <w:p w14:paraId="3A81FCDF" w14:textId="77777777" w:rsidR="00C74DE0" w:rsidRPr="00DA4FAF" w:rsidRDefault="00C74DE0" w:rsidP="00C74DE0">
      <w:pPr>
        <w:rPr>
          <w:sz w:val="24"/>
          <w:szCs w:val="24"/>
        </w:rPr>
      </w:pPr>
    </w:p>
    <w:p w14:paraId="5D30F709" w14:textId="2909A89A" w:rsidR="00C74DE0" w:rsidRPr="00DA4FAF" w:rsidRDefault="00C74DE0" w:rsidP="00C74DE0">
      <w:pPr>
        <w:pStyle w:val="ListParagraph"/>
        <w:numPr>
          <w:ilvl w:val="0"/>
          <w:numId w:val="2"/>
        </w:numPr>
        <w:rPr>
          <w:b/>
          <w:bCs/>
          <w:sz w:val="24"/>
          <w:szCs w:val="24"/>
        </w:rPr>
      </w:pPr>
      <w:r w:rsidRPr="00DA4FAF">
        <w:rPr>
          <w:b/>
          <w:bCs/>
          <w:sz w:val="24"/>
          <w:szCs w:val="24"/>
        </w:rPr>
        <w:t>Conclusion</w:t>
      </w:r>
    </w:p>
    <w:p w14:paraId="512467D7" w14:textId="77777777" w:rsidR="00266718" w:rsidRPr="00DA4FAF" w:rsidRDefault="00266718">
      <w:pPr>
        <w:rPr>
          <w:sz w:val="24"/>
          <w:szCs w:val="24"/>
        </w:rPr>
      </w:pPr>
    </w:p>
    <w:sectPr w:rsidR="00266718" w:rsidRPr="00DA4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3255E"/>
    <w:multiLevelType w:val="multilevel"/>
    <w:tmpl w:val="7654E8C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A18126E"/>
    <w:multiLevelType w:val="hybridMultilevel"/>
    <w:tmpl w:val="7BBC5E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E6"/>
    <w:rsid w:val="00006FDF"/>
    <w:rsid w:val="000F664A"/>
    <w:rsid w:val="00223DAD"/>
    <w:rsid w:val="00266718"/>
    <w:rsid w:val="002C5280"/>
    <w:rsid w:val="00406A90"/>
    <w:rsid w:val="00414F69"/>
    <w:rsid w:val="00466261"/>
    <w:rsid w:val="0048511C"/>
    <w:rsid w:val="004B2D39"/>
    <w:rsid w:val="00530C57"/>
    <w:rsid w:val="005F0E60"/>
    <w:rsid w:val="00693A7F"/>
    <w:rsid w:val="00695E7E"/>
    <w:rsid w:val="006A240A"/>
    <w:rsid w:val="00737D85"/>
    <w:rsid w:val="007750E6"/>
    <w:rsid w:val="009450CC"/>
    <w:rsid w:val="00A616CF"/>
    <w:rsid w:val="00AA1D37"/>
    <w:rsid w:val="00B46273"/>
    <w:rsid w:val="00B87AFD"/>
    <w:rsid w:val="00C74DE0"/>
    <w:rsid w:val="00DA4FAF"/>
    <w:rsid w:val="00DD68EA"/>
    <w:rsid w:val="00E30D4A"/>
    <w:rsid w:val="00EA792A"/>
    <w:rsid w:val="00F836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5E03"/>
  <w15:chartTrackingRefBased/>
  <w15:docId w15:val="{2F5B9EB6-9F1C-40D2-B893-3006E44E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280"/>
    <w:pPr>
      <w:ind w:left="720"/>
      <w:contextualSpacing/>
    </w:pPr>
  </w:style>
  <w:style w:type="character" w:styleId="Hyperlink">
    <w:name w:val="Hyperlink"/>
    <w:basedOn w:val="DefaultParagraphFont"/>
    <w:uiPriority w:val="99"/>
    <w:unhideWhenUsed/>
    <w:rsid w:val="00695E7E"/>
    <w:rPr>
      <w:color w:val="0563C1" w:themeColor="hyperlink"/>
      <w:u w:val="single"/>
    </w:rPr>
  </w:style>
  <w:style w:type="character" w:styleId="UnresolvedMention">
    <w:name w:val="Unresolved Mention"/>
    <w:basedOn w:val="DefaultParagraphFont"/>
    <w:uiPriority w:val="99"/>
    <w:semiHidden/>
    <w:unhideWhenUsed/>
    <w:rsid w:val="00695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nnualreviews.org/doi/abs/10.1146/annurev.soc.27.1.415?journalCode=soc" TargetMode="External"/><Relationship Id="rId18" Type="http://schemas.openxmlformats.org/officeDocument/2006/relationships/hyperlink" Target="https://www.abs.gov.au/AUSSTATS/abs@.nsf/DetailsPage/1270.0.55.003July%202016?OpenDocumen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xfordre.com/economics/view/10.1093/acrefore/9780190625979.001.0001/acrefore-9780190625979-e-327#acrefore-9780190625979-e-327-bibItem-0048"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abs.gov.au/websitedbs/censushome.nsf/home/factsheetsnas?opendocument&amp;navpos=45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ata.nsw.gov.au/data/dataset/nsw-covid-19-cases-by-location-and-likely-source-of-infection/resource/2776dbb8-f807-4fb2-b1ed-184a6fc2c8aa"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geospatial-clustering-kinds-and-uses-9aef7601f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17</cp:revision>
  <dcterms:created xsi:type="dcterms:W3CDTF">2021-04-29T04:13:00Z</dcterms:created>
  <dcterms:modified xsi:type="dcterms:W3CDTF">2021-04-29T07:13:00Z</dcterms:modified>
</cp:coreProperties>
</file>