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A6C05" w14:textId="158770DB" w:rsidR="002C5280" w:rsidRPr="00DA4FAF" w:rsidRDefault="002C5280" w:rsidP="007450C3">
      <w:pPr>
        <w:pStyle w:val="Heading1"/>
      </w:pPr>
      <w:r w:rsidRPr="00DA4FAF">
        <w:t>Introduction</w:t>
      </w:r>
    </w:p>
    <w:p w14:paraId="0C6D1255" w14:textId="007B39B1" w:rsidR="00CA0361" w:rsidRDefault="00DA4FAF" w:rsidP="00DA4FAF">
      <w:pPr>
        <w:rPr>
          <w:sz w:val="24"/>
          <w:szCs w:val="24"/>
        </w:rPr>
      </w:pPr>
      <w:r w:rsidRPr="00DA4FAF">
        <w:rPr>
          <w:sz w:val="24"/>
          <w:szCs w:val="24"/>
        </w:rPr>
        <w:t xml:space="preserve">Since the outbreak of Covid-19, governments </w:t>
      </w:r>
      <w:r w:rsidR="00A56191">
        <w:rPr>
          <w:sz w:val="24"/>
          <w:szCs w:val="24"/>
        </w:rPr>
        <w:t>worldwide</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the outbreak is discovered earlier</w:t>
      </w:r>
      <w:r w:rsidR="00E91E45">
        <w:rPr>
          <w:sz w:val="24"/>
          <w:szCs w:val="24"/>
        </w:rPr>
        <w:t xml:space="preserve"> so that the origin can be identified</w:t>
      </w:r>
      <w:r w:rsidRPr="00DA4FAF">
        <w:rPr>
          <w:sz w:val="24"/>
          <w:szCs w:val="24"/>
        </w:rPr>
        <w:t xml:space="preserve">; </w:t>
      </w:r>
      <w:r w:rsidR="00D87EC0">
        <w:rPr>
          <w:sz w:val="24"/>
          <w:szCs w:val="24"/>
        </w:rPr>
        <w:t>2</w:t>
      </w:r>
      <w:r w:rsidRPr="00DA4FAF">
        <w:rPr>
          <w:sz w:val="24"/>
          <w:szCs w:val="24"/>
        </w:rPr>
        <w:t>) the number of confirmed cases is limited</w:t>
      </w:r>
      <w:r w:rsidR="00E91E45">
        <w:rPr>
          <w:sz w:val="24"/>
          <w:szCs w:val="24"/>
        </w:rPr>
        <w:t xml:space="preserve"> so that the spread is trackable</w:t>
      </w:r>
      <w:r w:rsidR="00A56191">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However, in many parts of the world, it is </w:t>
      </w:r>
      <w:r w:rsidR="00A56191">
        <w:rPr>
          <w:sz w:val="24"/>
          <w:szCs w:val="24"/>
        </w:rPr>
        <w:t>improbable</w:t>
      </w:r>
      <w:r w:rsidRPr="00DA4FAF">
        <w:rPr>
          <w:sz w:val="24"/>
          <w:szCs w:val="24"/>
        </w:rPr>
        <w:t xml:space="preserve"> for all these three conditions to be met simultaneously.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09A3BDEC" w14:textId="57E9C073" w:rsidR="00AA38DD"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travelers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 xml:space="preserve">visualisation in </w:t>
      </w:r>
      <w:r w:rsidR="00AA38DD" w:rsidRPr="00C63D8B">
        <w:rPr>
          <w:i/>
          <w:iCs/>
          <w:sz w:val="24"/>
          <w:szCs w:val="24"/>
          <w:highlight w:val="yellow"/>
        </w:rPr>
        <w:t>Appendix A.</w:t>
      </w:r>
      <w:r w:rsidR="00AA38DD">
        <w:rPr>
          <w:sz w:val="24"/>
          <w:szCs w:val="24"/>
        </w:rPr>
        <w:t xml:space="preserve"> </w:t>
      </w:r>
    </w:p>
    <w:p w14:paraId="2AE71E0D" w14:textId="1FA90A9B" w:rsidR="00737D85" w:rsidRDefault="00737D85" w:rsidP="00DA4FAF">
      <w:pPr>
        <w:rPr>
          <w:sz w:val="24"/>
          <w:szCs w:val="24"/>
        </w:rPr>
      </w:pPr>
      <w:r w:rsidRPr="00C63D8B">
        <w:rPr>
          <w:sz w:val="24"/>
          <w:szCs w:val="24"/>
          <w:highlight w:val="yellow"/>
        </w:rPr>
        <w:t>{Chart index}</w:t>
      </w:r>
      <w:r>
        <w:rPr>
          <w:sz w:val="24"/>
          <w:szCs w:val="24"/>
        </w:rPr>
        <w:t xml:space="preserve"> 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(a.k.a postal area or POA or POA_NAME16) for each of the three clusters’ origins are shown in the red text annotation below. </w:t>
      </w:r>
    </w:p>
    <w:p w14:paraId="510EFA81" w14:textId="77777777" w:rsidR="00C63D8B" w:rsidRDefault="00C63D8B" w:rsidP="00DA4FAF">
      <w:pPr>
        <w:rPr>
          <w:sz w:val="24"/>
          <w:szCs w:val="24"/>
        </w:rPr>
      </w:pPr>
    </w:p>
    <w:p w14:paraId="0EF1816C" w14:textId="195B6259" w:rsidR="00737D85" w:rsidRPr="00DA4FAF" w:rsidRDefault="00D26808" w:rsidP="00DA4FAF">
      <w:pPr>
        <w:rPr>
          <w:sz w:val="24"/>
          <w:szCs w:val="24"/>
        </w:rPr>
      </w:pPr>
      <w:r>
        <w:rPr>
          <w:noProof/>
        </w:rPr>
        <w:lastRenderedPageBreak/>
        <w:drawing>
          <wp:inline distT="0" distB="0" distL="0" distR="0" wp14:anchorId="3B7B168E" wp14:editId="3FA2DC87">
            <wp:extent cx="5731510" cy="28524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2420"/>
                    </a:xfrm>
                    <a:prstGeom prst="rect">
                      <a:avLst/>
                    </a:prstGeom>
                  </pic:spPr>
                </pic:pic>
              </a:graphicData>
            </a:graphic>
          </wp:inline>
        </w:drawing>
      </w:r>
    </w:p>
    <w:p w14:paraId="11FF4407" w14:textId="7215C320" w:rsidR="00AA1D37" w:rsidRDefault="009450CC" w:rsidP="00AA1D37">
      <w:pPr>
        <w:rPr>
          <w:sz w:val="24"/>
          <w:szCs w:val="24"/>
        </w:rPr>
      </w:pPr>
      <w:r w:rsidRPr="00892EAF">
        <w:rPr>
          <w:sz w:val="24"/>
          <w:szCs w:val="24"/>
          <w:highlight w:val="yellow"/>
        </w:rPr>
        <w:t>{Chart index}</w:t>
      </w:r>
      <w:r>
        <w:rPr>
          <w:sz w:val="24"/>
          <w:szCs w:val="24"/>
        </w:rPr>
        <w:t xml:space="preserve"> shows the accumulated cases by local health districts. The early spikes across all regions </w:t>
      </w:r>
      <w:r w:rsidR="002B00CF">
        <w:rPr>
          <w:sz w:val="24"/>
          <w:szCs w:val="24"/>
        </w:rPr>
        <w:t>were</w:t>
      </w:r>
      <w:r>
        <w:rPr>
          <w:sz w:val="24"/>
          <w:szCs w:val="24"/>
        </w:rPr>
        <w:t xml:space="preserve"> </w:t>
      </w:r>
      <w:r w:rsidR="002B00CF">
        <w:rPr>
          <w:sz w:val="24"/>
          <w:szCs w:val="24"/>
        </w:rPr>
        <w:t>led</w:t>
      </w:r>
      <w:r>
        <w:rPr>
          <w:sz w:val="24"/>
          <w:szCs w:val="24"/>
        </w:rPr>
        <w:t xml:space="preserve"> by the South Eastern Sydney cluster (Bondi beach). </w:t>
      </w:r>
      <w:r w:rsidR="00CB397F">
        <w:rPr>
          <w:sz w:val="24"/>
          <w:szCs w:val="24"/>
        </w:rPr>
        <w:t>The following</w:t>
      </w:r>
      <w:r>
        <w:rPr>
          <w:sz w:val="24"/>
          <w:szCs w:val="24"/>
        </w:rPr>
        <w:t xml:space="preserve"> rise of </w:t>
      </w:r>
      <w:r w:rsidR="00A56191">
        <w:rPr>
          <w:sz w:val="24"/>
          <w:szCs w:val="24"/>
        </w:rPr>
        <w:t>Western Sydney and South Western Sydney cases</w:t>
      </w:r>
      <w:r>
        <w:rPr>
          <w:sz w:val="24"/>
          <w:szCs w:val="24"/>
        </w:rPr>
        <w:t xml:space="preserve"> is more gradual</w:t>
      </w:r>
      <w:r w:rsidR="00A56191">
        <w:rPr>
          <w:sz w:val="24"/>
          <w:szCs w:val="24"/>
        </w:rPr>
        <w:t>, accompanied by</w:t>
      </w:r>
      <w:r>
        <w:rPr>
          <w:sz w:val="24"/>
          <w:szCs w:val="24"/>
        </w:rPr>
        <w:t xml:space="preserve"> </w:t>
      </w:r>
      <w:r w:rsidR="00A56191">
        <w:rPr>
          <w:sz w:val="24"/>
          <w:szCs w:val="24"/>
        </w:rPr>
        <w:t>elevations</w:t>
      </w:r>
      <w:r>
        <w:rPr>
          <w:sz w:val="24"/>
          <w:szCs w:val="24"/>
        </w:rPr>
        <w:t xml:space="preserve"> in cases in other regions. The final cluster in Northern Sydney appears</w:t>
      </w:r>
      <w:r w:rsidR="002B00CF">
        <w:rPr>
          <w:sz w:val="24"/>
          <w:szCs w:val="24"/>
        </w:rPr>
        <w:t xml:space="preserve"> more</w:t>
      </w:r>
      <w:r>
        <w:rPr>
          <w:sz w:val="24"/>
          <w:szCs w:val="24"/>
        </w:rPr>
        <w:t xml:space="preserve"> </w:t>
      </w:r>
      <w:r w:rsidR="00CB397F">
        <w:rPr>
          <w:sz w:val="24"/>
          <w:szCs w:val="24"/>
        </w:rPr>
        <w:t>abrupt and relative</w:t>
      </w:r>
      <w:r w:rsidR="00306646">
        <w:rPr>
          <w:sz w:val="24"/>
          <w:szCs w:val="24"/>
        </w:rPr>
        <w:t xml:space="preserve">ly </w:t>
      </w:r>
      <w:r>
        <w:rPr>
          <w:sz w:val="24"/>
          <w:szCs w:val="24"/>
        </w:rPr>
        <w:t xml:space="preserve">isolated compared with the first two clusters. </w:t>
      </w:r>
    </w:p>
    <w:p w14:paraId="7243DD40" w14:textId="1BC9EA39" w:rsidR="009450CC" w:rsidRDefault="00D26808" w:rsidP="00AA1D37">
      <w:pPr>
        <w:rPr>
          <w:sz w:val="24"/>
          <w:szCs w:val="24"/>
        </w:rPr>
      </w:pPr>
      <w:r>
        <w:rPr>
          <w:noProof/>
        </w:rPr>
        <w:drawing>
          <wp:inline distT="0" distB="0" distL="0" distR="0" wp14:anchorId="2C2B49ED" wp14:editId="7983FC09">
            <wp:extent cx="5731510" cy="35667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66795"/>
                    </a:xfrm>
                    <a:prstGeom prst="rect">
                      <a:avLst/>
                    </a:prstGeom>
                  </pic:spPr>
                </pic:pic>
              </a:graphicData>
            </a:graphic>
          </wp:inline>
        </w:drawing>
      </w:r>
    </w:p>
    <w:p w14:paraId="304F3BEE" w14:textId="0200F058" w:rsidR="00BA4481" w:rsidRDefault="00BA4481" w:rsidP="00AA1D37">
      <w:pPr>
        <w:rPr>
          <w:sz w:val="24"/>
          <w:szCs w:val="24"/>
        </w:rPr>
      </w:pPr>
      <w:r w:rsidRPr="00892EAF">
        <w:rPr>
          <w:sz w:val="24"/>
          <w:szCs w:val="24"/>
          <w:highlight w:val="yellow"/>
        </w:rPr>
        <w:t>{Chart index}</w:t>
      </w:r>
      <w:r>
        <w:rPr>
          <w:sz w:val="24"/>
          <w:szCs w:val="24"/>
        </w:rPr>
        <w:t xml:space="preserve"> shows the more granular accumulated cases by postcode in each local health district from </w:t>
      </w:r>
      <w:r w:rsidRPr="00892EAF">
        <w:rPr>
          <w:sz w:val="24"/>
          <w:szCs w:val="24"/>
          <w:highlight w:val="yellow"/>
        </w:rPr>
        <w:t>{Chart index}</w:t>
      </w:r>
      <w:r w:rsidR="00A56191">
        <w:rPr>
          <w:sz w:val="24"/>
          <w:szCs w:val="24"/>
        </w:rPr>
        <w:t>.</w:t>
      </w:r>
      <w:r>
        <w:rPr>
          <w:sz w:val="24"/>
          <w:szCs w:val="24"/>
        </w:rPr>
        <w:t xml:space="preserve"> </w:t>
      </w:r>
      <w:r w:rsidR="00A56191">
        <w:rPr>
          <w:sz w:val="24"/>
          <w:szCs w:val="24"/>
        </w:rPr>
        <w:t>E</w:t>
      </w:r>
      <w:r>
        <w:rPr>
          <w:sz w:val="24"/>
          <w:szCs w:val="24"/>
        </w:rPr>
        <w:t xml:space="preserve">ach district </w:t>
      </w:r>
      <w:r w:rsidR="005214AF">
        <w:rPr>
          <w:sz w:val="24"/>
          <w:szCs w:val="24"/>
        </w:rPr>
        <w:t>appear</w:t>
      </w:r>
      <w:r w:rsidR="00A56191">
        <w:rPr>
          <w:sz w:val="24"/>
          <w:szCs w:val="24"/>
        </w:rPr>
        <w:t>s to have a few “leading” postcodes that had a much higher number of cases than</w:t>
      </w:r>
      <w:r w:rsidR="005214AF">
        <w:rPr>
          <w:sz w:val="24"/>
          <w:szCs w:val="24"/>
        </w:rPr>
        <w:t xml:space="preserve"> the rest of the areas, except for the area around Sydney CBD. </w:t>
      </w:r>
    </w:p>
    <w:p w14:paraId="06D22FE8" w14:textId="3AE38046" w:rsidR="0048511C" w:rsidRDefault="00D26808" w:rsidP="00AA1D37">
      <w:pPr>
        <w:rPr>
          <w:sz w:val="24"/>
          <w:szCs w:val="24"/>
        </w:rPr>
      </w:pPr>
      <w:r>
        <w:rPr>
          <w:noProof/>
        </w:rPr>
        <w:lastRenderedPageBreak/>
        <w:drawing>
          <wp:inline distT="0" distB="0" distL="0" distR="0" wp14:anchorId="44BCD46C" wp14:editId="405CD902">
            <wp:extent cx="5731510" cy="38150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15080"/>
                    </a:xfrm>
                    <a:prstGeom prst="rect">
                      <a:avLst/>
                    </a:prstGeom>
                  </pic:spPr>
                </pic:pic>
              </a:graphicData>
            </a:graphic>
          </wp:inline>
        </w:drawing>
      </w:r>
    </w:p>
    <w:p w14:paraId="49EC9719" w14:textId="47E87C57" w:rsidR="00DD68EA" w:rsidRDefault="0048511C" w:rsidP="00AA1D37">
      <w:pPr>
        <w:rPr>
          <w:sz w:val="24"/>
          <w:szCs w:val="24"/>
        </w:rPr>
      </w:pPr>
      <w:r w:rsidRPr="00463963">
        <w:rPr>
          <w:sz w:val="24"/>
          <w:szCs w:val="24"/>
          <w:highlight w:val="yellow"/>
        </w:rPr>
        <w:t>{Chart index}</w:t>
      </w:r>
      <w:r>
        <w:rPr>
          <w:sz w:val="24"/>
          <w:szCs w:val="24"/>
        </w:rPr>
        <w:t xml:space="preserve"> shows the accumulated cases </w:t>
      </w:r>
      <w:r w:rsidR="009A3575">
        <w:rPr>
          <w:sz w:val="24"/>
          <w:szCs w:val="24"/>
        </w:rPr>
        <w:t xml:space="preserve">as choropleth </w:t>
      </w:r>
      <w:r>
        <w:rPr>
          <w:sz w:val="24"/>
          <w:szCs w:val="24"/>
        </w:rPr>
        <w:t>by postal area (closest shape file related to postcode</w:t>
      </w:r>
      <w:r w:rsidR="00A56191">
        <w:rPr>
          <w:sz w:val="24"/>
          <w:szCs w:val="24"/>
        </w:rPr>
        <w:t>,</w:t>
      </w:r>
      <w:r>
        <w:rPr>
          <w:sz w:val="24"/>
          <w:szCs w:val="24"/>
        </w:rPr>
        <w:t xml:space="preserve"> which is what the Covid-19 case data is reported from)</w:t>
      </w:r>
      <w:r w:rsidR="009A3575">
        <w:rPr>
          <w:sz w:val="24"/>
          <w:szCs w:val="24"/>
        </w:rPr>
        <w:t xml:space="preserve"> in the map of Sydney</w:t>
      </w:r>
      <w:r>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2501958D" w:rsidR="0048511C" w:rsidRDefault="00241D54" w:rsidP="00AA1D37">
      <w:pP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a:stretch>
                      <a:fillRect/>
                    </a:stretch>
                  </pic:blipFill>
                  <pic:spPr>
                    <a:xfrm>
                      <a:off x="0" y="0"/>
                      <a:ext cx="5731510" cy="4338955"/>
                    </a:xfrm>
                    <a:prstGeom prst="rect">
                      <a:avLst/>
                    </a:prstGeom>
                  </pic:spPr>
                </pic:pic>
              </a:graphicData>
            </a:graphic>
          </wp:inline>
        </w:drawing>
      </w:r>
    </w:p>
    <w:p w14:paraId="5380D4E8" w14:textId="19E31498" w:rsidR="00DD68EA" w:rsidRDefault="000F664A" w:rsidP="00AA1D37">
      <w:pPr>
        <w:rPr>
          <w:sz w:val="24"/>
          <w:szCs w:val="24"/>
        </w:rPr>
      </w:pPr>
      <w:r w:rsidRPr="00463963">
        <w:rPr>
          <w:sz w:val="24"/>
          <w:szCs w:val="24"/>
          <w:highlight w:val="yellow"/>
        </w:rPr>
        <w:t>{Chart index}</w:t>
      </w:r>
      <w:r>
        <w:rPr>
          <w:sz w:val="24"/>
          <w:szCs w:val="24"/>
        </w:rPr>
        <w:t xml:space="preserve"> 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5265232F" w:rsidR="00DD68EA" w:rsidRPr="009450CC" w:rsidRDefault="000712A3" w:rsidP="00AA1D37">
      <w:pPr>
        <w:rPr>
          <w:sz w:val="24"/>
          <w:szCs w:val="24"/>
        </w:rPr>
      </w:pPr>
      <w:r>
        <w:rPr>
          <w:noProof/>
        </w:rPr>
        <w:lastRenderedPageBreak/>
        <w:drawing>
          <wp:inline distT="0" distB="0" distL="0" distR="0" wp14:anchorId="0D039BFE" wp14:editId="1CE2961C">
            <wp:extent cx="5731510" cy="41700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70045"/>
                    </a:xfrm>
                    <a:prstGeom prst="rect">
                      <a:avLst/>
                    </a:prstGeom>
                  </pic:spPr>
                </pic:pic>
              </a:graphicData>
            </a:graphic>
          </wp:inline>
        </w:drawing>
      </w:r>
    </w:p>
    <w:p w14:paraId="33BAEC17" w14:textId="56663D06" w:rsidR="00006FDF" w:rsidRPr="00006FDF" w:rsidRDefault="00316A0B" w:rsidP="00BC7F9F">
      <w:pPr>
        <w:pStyle w:val="Heading2"/>
      </w:pPr>
      <w:r>
        <w:t>The m</w:t>
      </w:r>
      <w:r w:rsidR="00006FDF">
        <w:t>otivation of the gravity model</w:t>
      </w:r>
    </w:p>
    <w:p w14:paraId="2C9F752C" w14:textId="547E6194" w:rsidR="00223DAD" w:rsidRDefault="00B14444" w:rsidP="00223DAD">
      <w:pPr>
        <w:rPr>
          <w:sz w:val="24"/>
          <w:szCs w:val="24"/>
        </w:rPr>
      </w:pPr>
      <w:r w:rsidRPr="00B14444">
        <w:rPr>
          <w:sz w:val="24"/>
          <w:szCs w:val="24"/>
        </w:rPr>
        <w:t xml:space="preserve">Following the previous section, </w:t>
      </w:r>
      <w:r w:rsidR="00223DAD" w:rsidRPr="00B14444">
        <w:rPr>
          <w:sz w:val="24"/>
          <w:szCs w:val="24"/>
          <w:highlight w:val="yellow"/>
        </w:rPr>
        <w:t>{chart index}</w:t>
      </w:r>
      <w:r w:rsidR="00223DAD">
        <w:rPr>
          <w:sz w:val="24"/>
          <w:szCs w:val="24"/>
        </w:rPr>
        <w:t xml:space="preserve"> 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308EFA32"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1"/>
                    <a:stretch>
                      <a:fillRect/>
                    </a:stretch>
                  </pic:blipFill>
                  <pic:spPr>
                    <a:xfrm>
                      <a:off x="0" y="0"/>
                      <a:ext cx="5731510" cy="4353560"/>
                    </a:xfrm>
                    <a:prstGeom prst="rect">
                      <a:avLst/>
                    </a:prstGeom>
                  </pic:spPr>
                </pic:pic>
              </a:graphicData>
            </a:graphic>
          </wp:inline>
        </w:drawing>
      </w:r>
    </w:p>
    <w:p w14:paraId="67961C74" w14:textId="0014ADC5" w:rsidR="008C0E85" w:rsidRDefault="005C4A3D" w:rsidP="00223DAD">
      <w:pPr>
        <w:rPr>
          <w:sz w:val="24"/>
          <w:szCs w:val="24"/>
        </w:rPr>
      </w:pPr>
      <w:r>
        <w:rPr>
          <w:sz w:val="24"/>
          <w:szCs w:val="24"/>
        </w:rPr>
        <w:t xml:space="preserve">However, the </w:t>
      </w:r>
      <w:r w:rsidR="006857DC">
        <w:rPr>
          <w:sz w:val="24"/>
          <w:szCs w:val="24"/>
        </w:rPr>
        <w:t>public transport</w:t>
      </w:r>
      <w:r>
        <w:rPr>
          <w:sz w:val="24"/>
          <w:szCs w:val="24"/>
        </w:rPr>
        <w:t xml:space="preserve"> lines are also associated with </w:t>
      </w:r>
      <w:r w:rsidR="00316A0B">
        <w:rPr>
          <w:sz w:val="24"/>
          <w:szCs w:val="24"/>
        </w:rPr>
        <w:t>dense populations and geographic hubs</w:t>
      </w:r>
      <w:r>
        <w:rPr>
          <w:sz w:val="24"/>
          <w:szCs w:val="24"/>
        </w:rPr>
        <w:t xml:space="preserve"> (schools, hospitals, supermarkets, etc.). </w:t>
      </w:r>
      <w:r w:rsidR="008C0E85" w:rsidRPr="00B14444">
        <w:rPr>
          <w:sz w:val="24"/>
          <w:szCs w:val="24"/>
          <w:highlight w:val="yellow"/>
        </w:rPr>
        <w:t>{chart index}</w:t>
      </w:r>
      <w:r w:rsidR="008C0E85">
        <w:rPr>
          <w:sz w:val="24"/>
          <w:szCs w:val="24"/>
        </w:rPr>
        <w:t xml:space="preserve"> 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above, the Western Sydney area with more saturated green colour in </w:t>
      </w:r>
      <w:r w:rsidR="007E0DD7" w:rsidRPr="00B14444">
        <w:rPr>
          <w:sz w:val="24"/>
          <w:szCs w:val="24"/>
          <w:highlight w:val="yellow"/>
        </w:rPr>
        <w:t>{chart index}</w:t>
      </w:r>
      <w:r w:rsidR="007E0DD7">
        <w:rPr>
          <w:sz w:val="24"/>
          <w:szCs w:val="24"/>
        </w:rPr>
        <w:t xml:space="preserve"> appear</w:t>
      </w:r>
      <w:r w:rsidR="00316A0B">
        <w:rPr>
          <w:sz w:val="24"/>
          <w:szCs w:val="24"/>
        </w:rPr>
        <w:t>s</w:t>
      </w:r>
      <w:r w:rsidR="007E0DD7">
        <w:rPr>
          <w:sz w:val="24"/>
          <w:szCs w:val="24"/>
        </w:rPr>
        <w:t xml:space="preserve"> to coincide with the areas with the darker grey colour from </w:t>
      </w:r>
      <w:r w:rsidR="007E0DD7" w:rsidRPr="00B14444">
        <w:rPr>
          <w:sz w:val="24"/>
          <w:szCs w:val="24"/>
          <w:highlight w:val="yellow"/>
        </w:rPr>
        <w:t>{chart index}</w:t>
      </w:r>
      <w:r w:rsidR="007E0DD7">
        <w:rPr>
          <w:sz w:val="24"/>
          <w:szCs w:val="24"/>
        </w:rPr>
        <w:t>,</w:t>
      </w:r>
    </w:p>
    <w:p w14:paraId="349B72FC" w14:textId="13F7AAE2" w:rsidR="00006FDF" w:rsidRDefault="00241D54" w:rsidP="00223DAD">
      <w:pPr>
        <w:rPr>
          <w:b/>
          <w:bCs/>
          <w:sz w:val="24"/>
          <w:szCs w:val="24"/>
        </w:rPr>
      </w:pPr>
      <w:r w:rsidRPr="00241D54">
        <w:rPr>
          <w:b/>
          <w:bCs/>
          <w:noProof/>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5CA3F827" w14:textId="0177392E" w:rsidR="00F732D0" w:rsidRDefault="00F732D0" w:rsidP="00F732D0">
      <w:pPr>
        <w:rPr>
          <w:sz w:val="24"/>
          <w:szCs w:val="24"/>
        </w:rPr>
      </w:pPr>
      <w:r>
        <w:rPr>
          <w:sz w:val="24"/>
          <w:szCs w:val="24"/>
        </w:rPr>
        <w:t>These observations inspire the use of the Gravity Models to measure the level of “connectivity” between geographical areas</w:t>
      </w:r>
      <w:r w:rsidR="00316A0B">
        <w:rPr>
          <w:sz w:val="24"/>
          <w:szCs w:val="24"/>
        </w:rPr>
        <w:t xml:space="preserve">, </w:t>
      </w:r>
      <w:r>
        <w:rPr>
          <w:sz w:val="24"/>
          <w:szCs w:val="24"/>
        </w:rPr>
        <w:t xml:space="preserve"> using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1F635407" w14:textId="0C3DCFE7" w:rsidR="00F732D0" w:rsidRDefault="00F52DF8" w:rsidP="00223DAD">
      <w:pPr>
        <w:rPr>
          <w:sz w:val="24"/>
          <w:szCs w:val="24"/>
        </w:rPr>
      </w:pPr>
      <w:r>
        <w:rPr>
          <w:sz w:val="24"/>
          <w:szCs w:val="24"/>
        </w:rPr>
        <w:t>It is noted that postcodes (or postal areas) with larger size</w:t>
      </w:r>
      <w:r w:rsidR="00316A0B">
        <w:rPr>
          <w:sz w:val="24"/>
          <w:szCs w:val="24"/>
        </w:rPr>
        <w:t>s</w:t>
      </w:r>
      <w:r>
        <w:rPr>
          <w:sz w:val="24"/>
          <w:szCs w:val="24"/>
        </w:rPr>
        <w:t xml:space="preserve"> tend to appear more prominent in the choropleth map. This </w:t>
      </w:r>
      <w:r w:rsidR="00316A0B">
        <w:rPr>
          <w:sz w:val="24"/>
          <w:szCs w:val="24"/>
        </w:rPr>
        <w:t>would lead to</w:t>
      </w:r>
      <w:r>
        <w:rPr>
          <w:sz w:val="24"/>
          <w:szCs w:val="24"/>
        </w:rPr>
        <w:t xml:space="preserve"> a bias in the visualisation</w:t>
      </w:r>
      <w:r w:rsidR="00316A0B">
        <w:rPr>
          <w:sz w:val="24"/>
          <w:szCs w:val="24"/>
        </w:rPr>
        <w:t>,</w:t>
      </w:r>
      <w:r>
        <w:rPr>
          <w:sz w:val="24"/>
          <w:szCs w:val="24"/>
        </w:rPr>
        <w:t xml:space="preserve"> </w:t>
      </w:r>
      <w:r w:rsidR="00316A0B">
        <w:rPr>
          <w:sz w:val="24"/>
          <w:szCs w:val="24"/>
        </w:rPr>
        <w:t>overlooking</w:t>
      </w:r>
      <w:r>
        <w:rPr>
          <w:sz w:val="24"/>
          <w:szCs w:val="24"/>
        </w:rPr>
        <w:t xml:space="preserve"> the more densely populated areas with smaller size</w:t>
      </w:r>
      <w:r w:rsidR="00316A0B">
        <w:rPr>
          <w:sz w:val="24"/>
          <w:szCs w:val="24"/>
        </w:rPr>
        <w:t>s</w:t>
      </w:r>
      <w:r w:rsidR="006B514F">
        <w:rPr>
          <w:sz w:val="24"/>
          <w:szCs w:val="24"/>
        </w:rPr>
        <w:t>, which</w:t>
      </w:r>
      <w:r>
        <w:rPr>
          <w:sz w:val="24"/>
          <w:szCs w:val="24"/>
        </w:rPr>
        <w:t xml:space="preserve"> could have collectively accumulated </w:t>
      </w:r>
      <w:r w:rsidR="006B514F">
        <w:rPr>
          <w:sz w:val="24"/>
          <w:szCs w:val="24"/>
        </w:rPr>
        <w:t>many</w:t>
      </w:r>
      <w:r>
        <w:rPr>
          <w:sz w:val="24"/>
          <w:szCs w:val="24"/>
        </w:rPr>
        <w:t xml:space="preserve"> cases but do not have a more saturated colour due to the split of total cases into smaller </w:t>
      </w:r>
      <w:r w:rsidR="00374563">
        <w:rPr>
          <w:sz w:val="24"/>
          <w:szCs w:val="24"/>
        </w:rPr>
        <w:t>sub-areas</w:t>
      </w:r>
      <w:r w:rsidR="006B514F">
        <w:rPr>
          <w:sz w:val="24"/>
          <w:szCs w:val="24"/>
        </w:rPr>
        <w:t xml:space="preserve">. </w:t>
      </w:r>
      <w:r w:rsidR="0097205F">
        <w:rPr>
          <w:sz w:val="24"/>
          <w:szCs w:val="24"/>
        </w:rPr>
        <w:t xml:space="preserve">To verify this, </w:t>
      </w:r>
      <w:r w:rsidR="0097205F" w:rsidRPr="0097205F">
        <w:rPr>
          <w:sz w:val="24"/>
          <w:szCs w:val="24"/>
          <w:highlight w:val="yellow"/>
        </w:rPr>
        <w:t>{chart index}</w:t>
      </w:r>
      <w:r w:rsidR="0097205F">
        <w:rPr>
          <w:sz w:val="24"/>
          <w:szCs w:val="24"/>
        </w:rPr>
        <w:t xml:space="preserve"> shows the choropleth map filled with the aggregated number of Covid-19 cases by Local Government Area (LGA). It is evident that the spread of the virus in the western areas is more severe and spread out, while the collective number of cases from the northern and the south-eastern regions are relatively lower and comparable. </w:t>
      </w:r>
    </w:p>
    <w:p w14:paraId="425EC58D" w14:textId="582BB02D" w:rsidR="0097205F" w:rsidRPr="00F732D0" w:rsidRDefault="0097205F" w:rsidP="00223DAD">
      <w:pPr>
        <w:rPr>
          <w:sz w:val="24"/>
          <w:szCs w:val="24"/>
        </w:rPr>
      </w:pPr>
      <w:r>
        <w:rPr>
          <w:noProof/>
        </w:rPr>
        <w:lastRenderedPageBreak/>
        <w:drawing>
          <wp:inline distT="0" distB="0" distL="0" distR="0" wp14:anchorId="1F12911B" wp14:editId="2604EACC">
            <wp:extent cx="5731510" cy="3961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61765"/>
                    </a:xfrm>
                    <a:prstGeom prst="rect">
                      <a:avLst/>
                    </a:prstGeom>
                  </pic:spPr>
                </pic:pic>
              </a:graphicData>
            </a:graphic>
          </wp:inline>
        </w:drawing>
      </w:r>
    </w:p>
    <w:p w14:paraId="30DB4435" w14:textId="2FE1E012" w:rsidR="00006FDF" w:rsidRPr="00006FDF" w:rsidRDefault="00316A0B" w:rsidP="00BC7F9F">
      <w:pPr>
        <w:pStyle w:val="Heading2"/>
      </w:pPr>
      <w:r>
        <w:t>The m</w:t>
      </w:r>
      <w:r w:rsidR="00006FDF">
        <w:t>otivation of the homophily model</w:t>
      </w:r>
    </w:p>
    <w:p w14:paraId="4D4933DF" w14:textId="56FE41B2" w:rsidR="00006FDF" w:rsidRPr="00932351" w:rsidRDefault="00006FDF" w:rsidP="00223DAD">
      <w:pPr>
        <w:rPr>
          <w:i/>
          <w:iCs/>
          <w:sz w:val="24"/>
          <w:szCs w:val="24"/>
        </w:rPr>
      </w:pPr>
      <w:r w:rsidRPr="00932351">
        <w:rPr>
          <w:i/>
          <w:iCs/>
          <w:sz w:val="24"/>
          <w:szCs w:val="24"/>
        </w:rPr>
        <w:t xml:space="preserve">Need a map showing </w:t>
      </w:r>
      <w:r w:rsidR="00290EA6">
        <w:rPr>
          <w:i/>
          <w:iCs/>
          <w:sz w:val="24"/>
          <w:szCs w:val="24"/>
        </w:rPr>
        <w:t xml:space="preserve">demographics, </w:t>
      </w:r>
      <w:r w:rsidRPr="00932351">
        <w:rPr>
          <w:i/>
          <w:iCs/>
          <w:sz w:val="24"/>
          <w:szCs w:val="24"/>
        </w:rPr>
        <w:t xml:space="preserve">% of ethnic groups, etc., to demonstrate </w:t>
      </w:r>
      <w:r w:rsidR="00316A0B">
        <w:rPr>
          <w:i/>
          <w:iCs/>
          <w:sz w:val="24"/>
          <w:szCs w:val="24"/>
        </w:rPr>
        <w:t xml:space="preserve">the presence of </w:t>
      </w:r>
      <w:r w:rsidRPr="00932351">
        <w:rPr>
          <w:i/>
          <w:iCs/>
          <w:sz w:val="24"/>
          <w:szCs w:val="24"/>
        </w:rPr>
        <w:t xml:space="preserve">homophily in the geographic area. </w:t>
      </w:r>
    </w:p>
    <w:p w14:paraId="6A4CD0AA" w14:textId="4027FDFE" w:rsidR="002C5280" w:rsidRPr="00DA4FAF" w:rsidRDefault="002C5280" w:rsidP="00BC7F9F">
      <w:pPr>
        <w:pStyle w:val="Heading1"/>
      </w:pPr>
      <w:r w:rsidRPr="00DA4FAF">
        <w:t>Methodology</w:t>
      </w:r>
    </w:p>
    <w:p w14:paraId="5947BE35" w14:textId="692A5D1B" w:rsidR="002C5280" w:rsidRDefault="002C5280" w:rsidP="00BC7F9F">
      <w:pPr>
        <w:pStyle w:val="Heading2"/>
      </w:pPr>
      <w:r w:rsidRPr="00DA4FAF">
        <w:t>The Gravity Model</w:t>
      </w:r>
    </w:p>
    <w:p w14:paraId="1942B625" w14:textId="7DEB8313" w:rsidR="00695E7E" w:rsidRDefault="009E2C27" w:rsidP="00695E7E">
      <w:pPr>
        <w:rPr>
          <w:sz w:val="24"/>
          <w:szCs w:val="24"/>
        </w:rPr>
      </w:pPr>
      <w:hyperlink r:id="rId14" w:anchor="acrefore-9780190625979-e-327-bibItem-0048" w:history="1">
        <w:r w:rsidR="00695E7E" w:rsidRPr="00B81BC9">
          <w:rPr>
            <w:rStyle w:val="Hyperlink"/>
            <w:sz w:val="24"/>
            <w:szCs w:val="24"/>
          </w:rPr>
          <w:t>https://oxfordre.com/economics/view/10.1093/acrefore/9780190625979.001.0001/acrefore-9780190625979-e-327#acrefore-9780190625979-e-327-bibItem-0048</w:t>
        </w:r>
      </w:hyperlink>
      <w:r w:rsidR="00695E7E">
        <w:rPr>
          <w:sz w:val="24"/>
          <w:szCs w:val="24"/>
        </w:rPr>
        <w:t xml:space="preserve"> </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r w:rsidR="006C63A8">
        <w:rPr>
          <w:sz w:val="24"/>
          <w:szCs w:val="24"/>
        </w:rPr>
        <w:t>Standaert</w:t>
      </w:r>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lastRenderedPageBreak/>
        <w:t xml:space="preserve">The empirical success of the gravity model has led to the development of a variety of theoretical models to underpin the gravity equation - – such as the structural gravity model based on the Multi-Country Ricardian Model (Eaton and Kortum,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0B82F9DB" w:rsidR="003179A0" w:rsidRDefault="003179A0" w:rsidP="00695E7E">
      <w:pPr>
        <w:rPr>
          <w:sz w:val="24"/>
          <w:szCs w:val="24"/>
        </w:rPr>
      </w:pPr>
      <w:r w:rsidRPr="003179A0">
        <w:rPr>
          <w:sz w:val="24"/>
          <w:szCs w:val="24"/>
          <w:highlight w:val="yellow"/>
        </w:rPr>
        <w:t>{Chart index}</w:t>
      </w:r>
      <w:r>
        <w:rPr>
          <w:sz w:val="24"/>
          <w:szCs w:val="24"/>
        </w:rPr>
        <w:t xml:space="preserve"> shows the geo-coordinates of POIs (hospitals, schools, shopping centers, and supermarkets) in the Sydney area, overlaying the choropleth map of accumulated Covid-19 cases. </w:t>
      </w:r>
    </w:p>
    <w:p w14:paraId="54ED2B16" w14:textId="557CBD92" w:rsidR="003179A0" w:rsidRDefault="003179A0" w:rsidP="00695E7E">
      <w:pPr>
        <w:rPr>
          <w:sz w:val="24"/>
          <w:szCs w:val="24"/>
        </w:rPr>
      </w:pPr>
      <w:r>
        <w:rPr>
          <w:noProof/>
        </w:rPr>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9730"/>
                    </a:xfrm>
                    <a:prstGeom prst="rect">
                      <a:avLst/>
                    </a:prstGeom>
                  </pic:spPr>
                </pic:pic>
              </a:graphicData>
            </a:graphic>
          </wp:inline>
        </w:drawing>
      </w:r>
    </w:p>
    <w:p w14:paraId="2D815DE3" w14:textId="7730388C" w:rsidR="003179A0" w:rsidRDefault="003179A0" w:rsidP="00695E7E">
      <w:pPr>
        <w:rPr>
          <w:sz w:val="24"/>
          <w:szCs w:val="24"/>
        </w:rPr>
      </w:pPr>
      <w:r>
        <w:rPr>
          <w:sz w:val="24"/>
          <w:szCs w:val="24"/>
        </w:rPr>
        <w:t xml:space="preserve">We used the </w:t>
      </w:r>
      <w:hyperlink r:id="rId16" w:history="1">
        <w:r w:rsidRPr="003179A0">
          <w:rPr>
            <w:rStyle w:val="Hyperlink"/>
            <w:sz w:val="24"/>
            <w:szCs w:val="24"/>
          </w:rPr>
          <w:t>sp</w:t>
        </w:r>
      </w:hyperlink>
      <w:r>
        <w:rPr>
          <w:sz w:val="24"/>
          <w:szCs w:val="24"/>
        </w:rPr>
        <w:t xml:space="preserve"> package in R to convert the geocoordinates to the count of POIs in each Postal Area. This is shown in </w:t>
      </w:r>
      <w:r w:rsidRPr="003179A0">
        <w:rPr>
          <w:sz w:val="24"/>
          <w:szCs w:val="24"/>
          <w:highlight w:val="yellow"/>
        </w:rPr>
        <w:t>{Chart index}</w:t>
      </w:r>
      <w:r>
        <w:rPr>
          <w:sz w:val="24"/>
          <w:szCs w:val="24"/>
        </w:rPr>
        <w:t xml:space="preserve"> below.</w:t>
      </w:r>
    </w:p>
    <w:p w14:paraId="0FF64F52" w14:textId="2E2903D6"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29475"/>
                    </a:xfrm>
                    <a:prstGeom prst="rect">
                      <a:avLst/>
                    </a:prstGeom>
                  </pic:spPr>
                </pic:pic>
              </a:graphicData>
            </a:graphic>
          </wp:inline>
        </w:drawing>
      </w:r>
    </w:p>
    <w:p w14:paraId="0FBE2B4C" w14:textId="235D5008" w:rsidR="003179A0" w:rsidRDefault="00B67771" w:rsidP="00695E7E">
      <w:pPr>
        <w:rPr>
          <w:sz w:val="24"/>
          <w:szCs w:val="24"/>
        </w:rPr>
      </w:pPr>
      <w:r>
        <w:rPr>
          <w:sz w:val="24"/>
          <w:szCs w:val="24"/>
        </w:rPr>
        <w:t xml:space="preserve">As an illustration, </w:t>
      </w:r>
      <w:r w:rsidR="003179A0">
        <w:rPr>
          <w:sz w:val="24"/>
          <w:szCs w:val="24"/>
        </w:rPr>
        <w:t xml:space="preserve"> we </w:t>
      </w:r>
      <w:r>
        <w:rPr>
          <w:sz w:val="24"/>
          <w:szCs w:val="24"/>
        </w:rPr>
        <w:t>can</w:t>
      </w:r>
      <w:r w:rsidR="003179A0">
        <w:rPr>
          <w:sz w:val="24"/>
          <w:szCs w:val="24"/>
        </w:rPr>
        <w:t xml:space="preserve"> calculate the gravity score from each Postal Area to the likely origin of the three Covid-19 clusters in Sydney, namely the “Bondi Beach Cluster” (2026), the “Western Sydney Cluster” (2145)</w:t>
      </w:r>
      <w:r>
        <w:rPr>
          <w:sz w:val="24"/>
          <w:szCs w:val="24"/>
        </w:rPr>
        <w:t>,</w:t>
      </w:r>
      <w:r w:rsidR="003179A0">
        <w:rPr>
          <w:sz w:val="24"/>
          <w:szCs w:val="24"/>
        </w:rPr>
        <w:t xml:space="preserve"> and the “Northern Beach Cluster” (2107)</w:t>
      </w:r>
      <w:r>
        <w:rPr>
          <w:sz w:val="24"/>
          <w:szCs w:val="24"/>
        </w:rPr>
        <w:t>, based on the “naïve” gravity equation</w:t>
      </w:r>
      <w:r w:rsidR="003179A0">
        <w:rPr>
          <w:sz w:val="24"/>
          <w:szCs w:val="24"/>
        </w:rPr>
        <w:t xml:space="preserve">. The calculated result is visualised in </w:t>
      </w:r>
      <w:r w:rsidR="003179A0" w:rsidRPr="003179A0">
        <w:rPr>
          <w:sz w:val="24"/>
          <w:szCs w:val="24"/>
          <w:highlight w:val="yellow"/>
        </w:rPr>
        <w:t>{Chart index}</w:t>
      </w:r>
      <w:r w:rsidR="003179A0">
        <w:rPr>
          <w:sz w:val="24"/>
          <w:szCs w:val="24"/>
        </w:rPr>
        <w:t xml:space="preserve"> below: </w:t>
      </w:r>
    </w:p>
    <w:p w14:paraId="0DF5BB56" w14:textId="0BD3DD58" w:rsidR="003179A0" w:rsidRDefault="003179A0" w:rsidP="00695E7E">
      <w:pPr>
        <w:rPr>
          <w:sz w:val="24"/>
          <w:szCs w:val="24"/>
        </w:rPr>
      </w:pPr>
      <w:r>
        <w:rPr>
          <w:noProof/>
        </w:rPr>
        <w:lastRenderedPageBreak/>
        <w:drawing>
          <wp:inline distT="0" distB="0" distL="0" distR="0" wp14:anchorId="06A83984" wp14:editId="1BBBB9CE">
            <wp:extent cx="5731510" cy="4235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5450"/>
                    </a:xfrm>
                    <a:prstGeom prst="rect">
                      <a:avLst/>
                    </a:prstGeom>
                  </pic:spPr>
                </pic:pic>
              </a:graphicData>
            </a:graphic>
          </wp:inline>
        </w:drawing>
      </w:r>
    </w:p>
    <w:p w14:paraId="59DF33B6" w14:textId="6464E83D" w:rsidR="003179A0" w:rsidRDefault="003179A0" w:rsidP="00695E7E">
      <w:pPr>
        <w:rPr>
          <w:sz w:val="24"/>
          <w:szCs w:val="24"/>
        </w:rPr>
      </w:pPr>
      <w:r>
        <w:rPr>
          <w:noProof/>
        </w:rPr>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780"/>
                    </a:xfrm>
                    <a:prstGeom prst="rect">
                      <a:avLst/>
                    </a:prstGeom>
                  </pic:spPr>
                </pic:pic>
              </a:graphicData>
            </a:graphic>
          </wp:inline>
        </w:drawing>
      </w:r>
    </w:p>
    <w:p w14:paraId="0E2E4CBF" w14:textId="395DD17C" w:rsidR="003179A0" w:rsidRDefault="003179A0" w:rsidP="00695E7E">
      <w:pPr>
        <w:rPr>
          <w:sz w:val="24"/>
          <w:szCs w:val="24"/>
        </w:rPr>
      </w:pPr>
      <w:r>
        <w:rPr>
          <w:noProof/>
        </w:rPr>
        <w:lastRenderedPageBreak/>
        <w:drawing>
          <wp:inline distT="0" distB="0" distL="0" distR="0" wp14:anchorId="417BB0AD" wp14:editId="337562D8">
            <wp:extent cx="5731510" cy="42221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22115"/>
                    </a:xfrm>
                    <a:prstGeom prst="rect">
                      <a:avLst/>
                    </a:prstGeom>
                  </pic:spPr>
                </pic:pic>
              </a:graphicData>
            </a:graphic>
          </wp:inline>
        </w:drawing>
      </w:r>
    </w:p>
    <w:p w14:paraId="5F3A53CB" w14:textId="529AAE73" w:rsidR="003179A0" w:rsidRDefault="0004751C" w:rsidP="00695E7E">
      <w:pPr>
        <w:rPr>
          <w:sz w:val="24"/>
          <w:szCs w:val="24"/>
        </w:rPr>
      </w:pPr>
      <w:r>
        <w:rPr>
          <w:sz w:val="24"/>
          <w:szCs w:val="24"/>
        </w:rPr>
        <w:t>To combine the gravity scores from multiple specification of “mass”, we take the dot product of the normalised count of “point of interest”, so the formula becomes:</w:t>
      </w:r>
    </w:p>
    <w:p w14:paraId="2EE14555" w14:textId="4BEA1F74" w:rsidR="0004751C" w:rsidRPr="00235C74" w:rsidRDefault="0004751C" w:rsidP="0004751C">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6173B485" w14:textId="511467CB" w:rsidR="0004751C" w:rsidRDefault="00095B05" w:rsidP="00095B05">
      <w:pPr>
        <w:keepNext/>
        <w:rPr>
          <w:sz w:val="24"/>
          <w:szCs w:val="24"/>
        </w:rPr>
      </w:pPr>
      <w:r>
        <w:rPr>
          <w:sz w:val="24"/>
          <w:szCs w:val="24"/>
        </w:rPr>
        <w:lastRenderedPageBreak/>
        <w:t>The combined gravity</w:t>
      </w:r>
      <w:r w:rsidR="00B84E88">
        <w:rPr>
          <w:sz w:val="24"/>
          <w:szCs w:val="24"/>
        </w:rPr>
        <w:t xml:space="preserve"> </w:t>
      </w:r>
      <w:r>
        <w:rPr>
          <w:sz w:val="24"/>
          <w:szCs w:val="24"/>
        </w:rPr>
        <w:t xml:space="preserve">map is shown in </w:t>
      </w:r>
      <w:r w:rsidRPr="0035764F">
        <w:rPr>
          <w:sz w:val="24"/>
          <w:szCs w:val="24"/>
          <w:highlight w:val="yellow"/>
        </w:rPr>
        <w:t>{Table index}</w:t>
      </w:r>
      <w:r>
        <w:rPr>
          <w:sz w:val="24"/>
          <w:szCs w:val="24"/>
        </w:rPr>
        <w:t xml:space="preserve"> below. </w:t>
      </w:r>
      <w:r w:rsidR="00B84E88">
        <w:rPr>
          <w:sz w:val="24"/>
          <w:szCs w:val="24"/>
        </w:rPr>
        <w:t xml:space="preserve">It can also be used as an additional feature in any clustering methods combined with the census/homophily features. </w:t>
      </w:r>
    </w:p>
    <w:p w14:paraId="1588696B" w14:textId="32AE453C" w:rsidR="00095B05" w:rsidRPr="00F50CD4" w:rsidRDefault="008954A3" w:rsidP="00695E7E">
      <w:pPr>
        <w:rPr>
          <w:sz w:val="24"/>
          <w:szCs w:val="24"/>
        </w:rPr>
      </w:pPr>
      <w:r>
        <w:rPr>
          <w:noProof/>
        </w:rPr>
        <w:drawing>
          <wp:inline distT="0" distB="0" distL="0" distR="0" wp14:anchorId="62A2CE42" wp14:editId="43A5AEE3">
            <wp:extent cx="5731510" cy="4009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09390"/>
                    </a:xfrm>
                    <a:prstGeom prst="rect">
                      <a:avLst/>
                    </a:prstGeom>
                  </pic:spPr>
                </pic:pic>
              </a:graphicData>
            </a:graphic>
          </wp:inline>
        </w:drawing>
      </w:r>
    </w:p>
    <w:p w14:paraId="42BCF1C4" w14:textId="3567DE95" w:rsidR="00695E7E" w:rsidRDefault="00695E7E" w:rsidP="00BC7F9F">
      <w:pPr>
        <w:pStyle w:val="Heading2"/>
      </w:pPr>
      <w:r>
        <w:t>The Homophily Principle</w:t>
      </w:r>
    </w:p>
    <w:p w14:paraId="6CD2B8FE" w14:textId="08C3CB63" w:rsidR="00695E7E" w:rsidRDefault="009E2C27" w:rsidP="00695E7E">
      <w:pPr>
        <w:rPr>
          <w:sz w:val="24"/>
          <w:szCs w:val="24"/>
        </w:rPr>
      </w:pPr>
      <w:hyperlink r:id="rId22" w:history="1">
        <w:r w:rsidR="00695E7E" w:rsidRPr="00B81BC9">
          <w:rPr>
            <w:rStyle w:val="Hyperlink"/>
            <w:sz w:val="24"/>
            <w:szCs w:val="24"/>
          </w:rPr>
          <w:t>https://www.annualreviews.org/doi/abs/10.1146/annurev.soc.27.1.415?journalCode=soc</w:t>
        </w:r>
      </w:hyperlink>
      <w:r w:rsidR="00695E7E">
        <w:rPr>
          <w:sz w:val="24"/>
          <w:szCs w:val="24"/>
        </w:rPr>
        <w:t xml:space="preserve"> </w:t>
      </w:r>
    </w:p>
    <w:p w14:paraId="5A5E3D46" w14:textId="5AB82076" w:rsidR="003D4C36" w:rsidRDefault="00684B93" w:rsidP="00695E7E">
      <w:pPr>
        <w:rPr>
          <w:sz w:val="24"/>
          <w:szCs w:val="24"/>
        </w:rPr>
      </w:pPr>
      <w:r>
        <w:rPr>
          <w:noProof/>
        </w:rPr>
        <w:lastRenderedPageBreak/>
        <w:drawing>
          <wp:inline distT="0" distB="0" distL="0" distR="0" wp14:anchorId="64C2240F" wp14:editId="4F6434BD">
            <wp:extent cx="5731510" cy="67106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710680"/>
                    </a:xfrm>
                    <a:prstGeom prst="rect">
                      <a:avLst/>
                    </a:prstGeom>
                  </pic:spPr>
                </pic:pic>
              </a:graphicData>
            </a:graphic>
          </wp:inline>
        </w:drawing>
      </w:r>
    </w:p>
    <w:p w14:paraId="3657EAC3" w14:textId="3EB850B1" w:rsidR="00695E7E" w:rsidRDefault="00695E7E" w:rsidP="00BC7F9F">
      <w:pPr>
        <w:pStyle w:val="Heading2"/>
      </w:pPr>
      <w:r>
        <w:t>Geospatial Clustering</w:t>
      </w:r>
    </w:p>
    <w:p w14:paraId="3FFC5E4F" w14:textId="19FD1951" w:rsidR="00695E7E" w:rsidRPr="00695E7E" w:rsidRDefault="009E2C27" w:rsidP="00695E7E">
      <w:pPr>
        <w:rPr>
          <w:sz w:val="24"/>
          <w:szCs w:val="24"/>
        </w:rPr>
      </w:pPr>
      <w:hyperlink r:id="rId24" w:history="1">
        <w:r w:rsidR="00695E7E" w:rsidRPr="00B81BC9">
          <w:rPr>
            <w:rStyle w:val="Hyperlink"/>
            <w:sz w:val="24"/>
            <w:szCs w:val="24"/>
          </w:rPr>
          <w:t>https://towardsdatascience.com/geospatial-clustering-kinds-and-uses-9aef7601f386</w:t>
        </w:r>
      </w:hyperlink>
      <w:r w:rsidR="00695E7E">
        <w:rPr>
          <w:sz w:val="24"/>
          <w:szCs w:val="24"/>
        </w:rPr>
        <w:t xml:space="preserve"> </w:t>
      </w:r>
    </w:p>
    <w:p w14:paraId="43334595" w14:textId="77777777" w:rsidR="00047CBE" w:rsidRPr="001B0ACB" w:rsidRDefault="00047CBE" w:rsidP="00047CBE">
      <w:pPr>
        <w:pStyle w:val="ListParagraph"/>
        <w:numPr>
          <w:ilvl w:val="0"/>
          <w:numId w:val="3"/>
        </w:numPr>
        <w:rPr>
          <w:sz w:val="24"/>
          <w:szCs w:val="24"/>
        </w:rPr>
      </w:pPr>
      <w:r w:rsidRPr="001B0ACB">
        <w:rPr>
          <w:sz w:val="24"/>
          <w:szCs w:val="24"/>
        </w:rPr>
        <w:t>Partition clustering (K-means)</w:t>
      </w:r>
    </w:p>
    <w:p w14:paraId="21013E85" w14:textId="77777777" w:rsidR="00047CBE" w:rsidRPr="001B0ACB" w:rsidRDefault="00047CBE" w:rsidP="00047CBE">
      <w:pPr>
        <w:pStyle w:val="ListParagraph"/>
        <w:numPr>
          <w:ilvl w:val="0"/>
          <w:numId w:val="3"/>
        </w:numPr>
        <w:rPr>
          <w:sz w:val="24"/>
          <w:szCs w:val="24"/>
        </w:rPr>
      </w:pPr>
      <w:r w:rsidRPr="001B0ACB">
        <w:rPr>
          <w:sz w:val="24"/>
          <w:szCs w:val="24"/>
        </w:rPr>
        <w:t>Hierarchical clustering (Agglomerative clustering)</w:t>
      </w:r>
    </w:p>
    <w:p w14:paraId="7CCA6BB3" w14:textId="6D340014" w:rsidR="002C5280" w:rsidRPr="00047CBE" w:rsidRDefault="00047CBE" w:rsidP="002C5280">
      <w:pPr>
        <w:pStyle w:val="ListParagraph"/>
        <w:numPr>
          <w:ilvl w:val="0"/>
          <w:numId w:val="3"/>
        </w:numPr>
        <w:rPr>
          <w:sz w:val="24"/>
          <w:szCs w:val="24"/>
        </w:rPr>
      </w:pPr>
      <w:r w:rsidRPr="001B0ACB">
        <w:rPr>
          <w:sz w:val="24"/>
          <w:szCs w:val="24"/>
        </w:rPr>
        <w:t>Density-based clustering (DBSCAN)</w:t>
      </w:r>
    </w:p>
    <w:p w14:paraId="2DC1DFD0" w14:textId="2B7D94FB" w:rsidR="002C5280" w:rsidRPr="00DA4FAF" w:rsidRDefault="002C5280" w:rsidP="00BC7F9F">
      <w:pPr>
        <w:pStyle w:val="Heading1"/>
      </w:pPr>
      <w:r w:rsidRPr="00DA4FAF">
        <w:lastRenderedPageBreak/>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01284ACE" w:rsidR="0092673B" w:rsidRPr="00CC0B37" w:rsidRDefault="009E2C27" w:rsidP="00CC0B37">
      <w:pPr>
        <w:rPr>
          <w:rStyle w:val="Hyperlink"/>
          <w:sz w:val="24"/>
          <w:szCs w:val="24"/>
        </w:rPr>
      </w:pPr>
      <w:hyperlink r:id="rId25"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t>Geographic location data SYD/AU</w:t>
      </w:r>
    </w:p>
    <w:p w14:paraId="7C699B1A" w14:textId="299FAD3E" w:rsidR="00695E7E" w:rsidRDefault="0035764F" w:rsidP="00695E7E">
      <w:pPr>
        <w:rPr>
          <w:sz w:val="24"/>
          <w:szCs w:val="24"/>
        </w:rPr>
      </w:pPr>
      <w:r w:rsidRPr="0035764F">
        <w:rPr>
          <w:sz w:val="24"/>
          <w:szCs w:val="24"/>
          <w:highlight w:val="yellow"/>
        </w:rPr>
        <w:t>{Table index}</w:t>
      </w:r>
      <w:r>
        <w:rPr>
          <w:sz w:val="24"/>
          <w:szCs w:val="24"/>
        </w:rPr>
        <w:t xml:space="preserve"> below summarise the source of addresses and geographic coordinates of various “points of interest” in Sydney. </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2F8B920B" w:rsidR="0035764F" w:rsidRPr="00636AA5" w:rsidRDefault="009E2C27" w:rsidP="00636AA5">
            <w:pPr>
              <w:rPr>
                <w:sz w:val="24"/>
                <w:szCs w:val="24"/>
              </w:rPr>
            </w:pPr>
            <w:hyperlink r:id="rId26" w:history="1">
              <w:r w:rsidR="0035764F" w:rsidRPr="00636AA5">
                <w:rPr>
                  <w:rStyle w:val="Hyperlink"/>
                  <w:sz w:val="24"/>
                  <w:szCs w:val="24"/>
                </w:rPr>
                <w:t>Australian Institute of Health and Welfare</w:t>
              </w:r>
            </w:hyperlink>
          </w:p>
        </w:tc>
        <w:tc>
          <w:tcPr>
            <w:tcW w:w="3351" w:type="dxa"/>
          </w:tcPr>
          <w:p w14:paraId="6A1D4F65" w14:textId="6479BA71" w:rsidR="0035764F" w:rsidRPr="00636AA5" w:rsidRDefault="009E2C27" w:rsidP="00636AA5">
            <w:pPr>
              <w:rPr>
                <w:sz w:val="24"/>
                <w:szCs w:val="24"/>
              </w:rPr>
            </w:pPr>
            <w:hyperlink r:id="rId27"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52FAF669" w:rsidR="0035764F" w:rsidRPr="00636AA5" w:rsidRDefault="009E2C27" w:rsidP="00636AA5">
            <w:pPr>
              <w:rPr>
                <w:sz w:val="24"/>
                <w:szCs w:val="24"/>
              </w:rPr>
            </w:pPr>
            <w:hyperlink r:id="rId28" w:history="1">
              <w:r w:rsidR="0035764F" w:rsidRPr="00636AA5">
                <w:rPr>
                  <w:rStyle w:val="Hyperlink"/>
                  <w:sz w:val="24"/>
                  <w:szCs w:val="24"/>
                </w:rPr>
                <w:t>Australian Schools List</w:t>
              </w:r>
            </w:hyperlink>
          </w:p>
        </w:tc>
        <w:tc>
          <w:tcPr>
            <w:tcW w:w="3351" w:type="dxa"/>
          </w:tcPr>
          <w:p w14:paraId="70A4028F" w14:textId="78294353" w:rsidR="0035764F" w:rsidRPr="00636AA5" w:rsidRDefault="009E2C27" w:rsidP="00636AA5">
            <w:pPr>
              <w:rPr>
                <w:sz w:val="24"/>
                <w:szCs w:val="24"/>
              </w:rPr>
            </w:pPr>
            <w:hyperlink r:id="rId29"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t>Public transport (train, metro, light-rail, ferry stations)</w:t>
            </w:r>
          </w:p>
        </w:tc>
        <w:tc>
          <w:tcPr>
            <w:tcW w:w="3118" w:type="dxa"/>
          </w:tcPr>
          <w:p w14:paraId="410F32BD" w14:textId="1F083F5D" w:rsidR="0035764F" w:rsidRPr="00636AA5" w:rsidRDefault="009E2C27" w:rsidP="00636AA5">
            <w:pPr>
              <w:rPr>
                <w:sz w:val="24"/>
                <w:szCs w:val="24"/>
              </w:rPr>
            </w:pPr>
            <w:hyperlink r:id="rId30"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51019DEE" w:rsidR="0035764F" w:rsidRPr="00636AA5" w:rsidRDefault="009E2C27" w:rsidP="00636AA5">
            <w:pPr>
              <w:rPr>
                <w:sz w:val="24"/>
                <w:szCs w:val="24"/>
              </w:rPr>
            </w:pPr>
            <w:hyperlink r:id="rId31"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344121BF" w:rsidR="0035764F" w:rsidRPr="00636AA5" w:rsidRDefault="009E2C27" w:rsidP="00636AA5">
            <w:pPr>
              <w:rPr>
                <w:sz w:val="24"/>
                <w:szCs w:val="24"/>
              </w:rPr>
            </w:pPr>
            <w:hyperlink r:id="rId32"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418AAE0D"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33" w:history="1">
        <w:r w:rsidRPr="005E64D2">
          <w:rPr>
            <w:rStyle w:val="Hyperlink"/>
            <w:sz w:val="24"/>
            <w:szCs w:val="24"/>
          </w:rPr>
          <w:t>ggmap</w:t>
        </w:r>
      </w:hyperlink>
      <w:r>
        <w:rPr>
          <w:sz w:val="24"/>
          <w:szCs w:val="24"/>
        </w:rPr>
        <w:t xml:space="preserve">` package in R). </w:t>
      </w:r>
    </w:p>
    <w:p w14:paraId="496BBD50" w14:textId="27ED3219" w:rsidR="00C74DE0" w:rsidRDefault="00C74DE0" w:rsidP="00BC7F9F">
      <w:pPr>
        <w:pStyle w:val="Heading2"/>
      </w:pPr>
      <w:r w:rsidRPr="00DA4FAF">
        <w:t>Suburb demographic data SYD/AU</w:t>
      </w:r>
    </w:p>
    <w:p w14:paraId="700F67CB" w14:textId="6D458094" w:rsidR="00695E7E" w:rsidRPr="00695E7E" w:rsidRDefault="00027B8B" w:rsidP="00695E7E">
      <w:pPr>
        <w:rPr>
          <w:sz w:val="24"/>
          <w:szCs w:val="24"/>
        </w:rPr>
      </w:pPr>
      <w:r w:rsidRPr="0035764F">
        <w:rPr>
          <w:sz w:val="24"/>
          <w:szCs w:val="24"/>
          <w:highlight w:val="yellow"/>
        </w:rPr>
        <w:t>{Table index}</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14165575" w:rsidR="00695E7E" w:rsidRPr="0035764F" w:rsidRDefault="009E2C27" w:rsidP="00695E7E">
      <w:pPr>
        <w:rPr>
          <w:color w:val="0563C1" w:themeColor="hyperlink"/>
          <w:sz w:val="24"/>
          <w:szCs w:val="24"/>
          <w:u w:val="single"/>
        </w:rPr>
      </w:pPr>
      <w:hyperlink r:id="rId34" w:history="1">
        <w:r w:rsidR="00695E7E" w:rsidRPr="00B81BC9">
          <w:rPr>
            <w:rStyle w:val="Hyperlink"/>
            <w:sz w:val="24"/>
            <w:szCs w:val="24"/>
          </w:rPr>
          <w:t>https://www.abs.gov.au/websitedbs/censushome.nsf/home/factsheetsnas?opendocument&amp;navpos=450</w:t>
        </w:r>
      </w:hyperlink>
    </w:p>
    <w:p w14:paraId="6BC7D3A7" w14:textId="6C8257FF"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35"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2206E3FD" w:rsidR="00695E7E" w:rsidRDefault="0035764F" w:rsidP="00C74DE0">
      <w:pPr>
        <w:rPr>
          <w:sz w:val="24"/>
          <w:szCs w:val="24"/>
        </w:rPr>
      </w:pPr>
      <w:r>
        <w:rPr>
          <w:sz w:val="24"/>
          <w:szCs w:val="24"/>
        </w:rPr>
        <w:lastRenderedPageBreak/>
        <w:t xml:space="preserve">From there, we aggregate the SSC level data to the less granular POA level for the analysis. </w:t>
      </w:r>
    </w:p>
    <w:p w14:paraId="2CC5A95E" w14:textId="77777777" w:rsidR="00881729" w:rsidRPr="00DA4FAF" w:rsidRDefault="00881729" w:rsidP="00881729">
      <w:pPr>
        <w:pStyle w:val="Heading1"/>
      </w:pPr>
      <w:r w:rsidRPr="00DA4FAF">
        <w:t>Model Evaluation</w:t>
      </w:r>
    </w:p>
    <w:p w14:paraId="35FF42B5" w14:textId="77777777" w:rsidR="00881729" w:rsidRDefault="00881729" w:rsidP="00881729">
      <w:pPr>
        <w:rPr>
          <w:i/>
          <w:iCs/>
          <w:sz w:val="24"/>
          <w:szCs w:val="24"/>
        </w:rPr>
      </w:pPr>
      <w:r w:rsidRPr="00655F33">
        <w:rPr>
          <w:i/>
          <w:iCs/>
          <w:sz w:val="24"/>
          <w:szCs w:val="24"/>
        </w:rPr>
        <w:t>Evaluation metric time series, e.g. conditional probability of positive case</w:t>
      </w:r>
    </w:p>
    <w:p w14:paraId="7D65283D" w14:textId="77777777" w:rsidR="00881729" w:rsidRPr="00DA4FAF" w:rsidRDefault="00881729" w:rsidP="00C74DE0">
      <w:pPr>
        <w:rPr>
          <w:sz w:val="24"/>
          <w:szCs w:val="24"/>
        </w:rPr>
      </w:pPr>
    </w:p>
    <w:p w14:paraId="03B7C15A" w14:textId="5C987BF4" w:rsidR="00C74DE0" w:rsidRPr="00DA4FAF" w:rsidRDefault="00C74DE0" w:rsidP="00BC7F9F">
      <w:pPr>
        <w:pStyle w:val="Heading1"/>
      </w:pPr>
      <w:r w:rsidRPr="00DA4FAF">
        <w:t>Model outcome</w:t>
      </w:r>
    </w:p>
    <w:p w14:paraId="3773FDA7" w14:textId="4165092D" w:rsidR="0019475D" w:rsidRDefault="009713F1" w:rsidP="00C74DE0">
      <w:pPr>
        <w:rPr>
          <w:i/>
          <w:iCs/>
          <w:sz w:val="24"/>
          <w:szCs w:val="24"/>
        </w:rPr>
      </w:pPr>
      <w:r w:rsidRPr="00655F33">
        <w:rPr>
          <w:i/>
          <w:iCs/>
          <w:sz w:val="24"/>
          <w:szCs w:val="24"/>
        </w:rPr>
        <w:t>Show cluster maps by different specification, a matrix of clustering method and feature selected (and maybe # of PC selected)</w:t>
      </w:r>
    </w:p>
    <w:p w14:paraId="5C1DE4AE" w14:textId="58CF61C9" w:rsidR="00881729" w:rsidRDefault="00881729" w:rsidP="00881729">
      <w:pPr>
        <w:pStyle w:val="Heading2"/>
      </w:pPr>
      <w:r>
        <w:t xml:space="preserve">Benchmark: </w:t>
      </w:r>
    </w:p>
    <w:p w14:paraId="26E74E23" w14:textId="2FD93FA6" w:rsidR="00881729" w:rsidRPr="00881729" w:rsidRDefault="00881729" w:rsidP="00881729">
      <w:pPr>
        <w:keepNext/>
        <w:rPr>
          <w:b/>
          <w:bCs/>
          <w:sz w:val="24"/>
          <w:szCs w:val="24"/>
        </w:rPr>
      </w:pPr>
      <w:r w:rsidRPr="00881729">
        <w:rPr>
          <w:b/>
          <w:bCs/>
          <w:sz w:val="24"/>
          <w:szCs w:val="24"/>
        </w:rPr>
        <w:t>Adjacent POA lockdown</w:t>
      </w:r>
    </w:p>
    <w:p w14:paraId="3C6B96C6" w14:textId="1A963EC1" w:rsidR="00881729" w:rsidRDefault="00881729" w:rsidP="00C74DE0">
      <w:pPr>
        <w:rPr>
          <w:sz w:val="24"/>
          <w:szCs w:val="24"/>
        </w:rPr>
      </w:pPr>
      <w:r>
        <w:rPr>
          <w:noProof/>
        </w:rPr>
        <w:drawing>
          <wp:inline distT="0" distB="0" distL="0" distR="0" wp14:anchorId="05542356" wp14:editId="42E217B2">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33980"/>
                    </a:xfrm>
                    <a:prstGeom prst="rect">
                      <a:avLst/>
                    </a:prstGeom>
                  </pic:spPr>
                </pic:pic>
              </a:graphicData>
            </a:graphic>
          </wp:inline>
        </w:drawing>
      </w:r>
    </w:p>
    <w:p w14:paraId="10F23BB2" w14:textId="43183AA2" w:rsidR="001B6493" w:rsidRDefault="001B6493" w:rsidP="00C74DE0">
      <w:pPr>
        <w:rPr>
          <w:sz w:val="24"/>
          <w:szCs w:val="24"/>
        </w:rPr>
      </w:pPr>
      <w:r>
        <w:rPr>
          <w:noProof/>
        </w:rPr>
        <w:drawing>
          <wp:inline distT="0" distB="0" distL="0" distR="0" wp14:anchorId="138E3B9C" wp14:editId="2935051D">
            <wp:extent cx="5731510" cy="3217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17545"/>
                    </a:xfrm>
                    <a:prstGeom prst="rect">
                      <a:avLst/>
                    </a:prstGeom>
                  </pic:spPr>
                </pic:pic>
              </a:graphicData>
            </a:graphic>
          </wp:inline>
        </w:drawing>
      </w:r>
    </w:p>
    <w:p w14:paraId="6F3AB3E2" w14:textId="11A0993D" w:rsidR="00881729" w:rsidRDefault="00881729" w:rsidP="00881729">
      <w:pPr>
        <w:keepNext/>
        <w:rPr>
          <w:b/>
          <w:bCs/>
          <w:sz w:val="24"/>
          <w:szCs w:val="24"/>
        </w:rPr>
      </w:pPr>
      <w:r w:rsidRPr="00881729">
        <w:rPr>
          <w:b/>
          <w:bCs/>
          <w:sz w:val="24"/>
          <w:szCs w:val="24"/>
        </w:rPr>
        <w:lastRenderedPageBreak/>
        <w:t>Entire LGA lockdown</w:t>
      </w:r>
    </w:p>
    <w:p w14:paraId="59237BC5" w14:textId="3401A179" w:rsidR="00881729" w:rsidRDefault="00881729" w:rsidP="00C74DE0">
      <w:pPr>
        <w:rPr>
          <w:b/>
          <w:bCs/>
          <w:sz w:val="24"/>
          <w:szCs w:val="24"/>
        </w:rPr>
      </w:pPr>
      <w:r>
        <w:rPr>
          <w:noProof/>
        </w:rPr>
        <w:drawing>
          <wp:inline distT="0" distB="0" distL="0" distR="0" wp14:anchorId="0095CDF0" wp14:editId="40EBE01D">
            <wp:extent cx="5731510" cy="390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07790"/>
                    </a:xfrm>
                    <a:prstGeom prst="rect">
                      <a:avLst/>
                    </a:prstGeom>
                  </pic:spPr>
                </pic:pic>
              </a:graphicData>
            </a:graphic>
          </wp:inline>
        </w:drawing>
      </w:r>
    </w:p>
    <w:p w14:paraId="3D9C7487" w14:textId="1A995392" w:rsidR="00881729" w:rsidRDefault="00881729" w:rsidP="00881729">
      <w:pPr>
        <w:keepNext/>
        <w:rPr>
          <w:b/>
          <w:bCs/>
          <w:sz w:val="24"/>
          <w:szCs w:val="24"/>
        </w:rPr>
      </w:pPr>
      <w:r>
        <w:rPr>
          <w:b/>
          <w:bCs/>
          <w:sz w:val="24"/>
          <w:szCs w:val="24"/>
        </w:rPr>
        <w:t>Entire LHD lockdown</w:t>
      </w:r>
    </w:p>
    <w:p w14:paraId="0727CE1A" w14:textId="5A9FA78E" w:rsidR="00881729" w:rsidRDefault="00881729" w:rsidP="00C74DE0">
      <w:pPr>
        <w:rPr>
          <w:b/>
          <w:bCs/>
          <w:sz w:val="24"/>
          <w:szCs w:val="24"/>
        </w:rPr>
      </w:pPr>
      <w:r>
        <w:rPr>
          <w:noProof/>
        </w:rPr>
        <w:drawing>
          <wp:inline distT="0" distB="0" distL="0" distR="0" wp14:anchorId="2CB46A8C" wp14:editId="20684159">
            <wp:extent cx="37909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3238500"/>
                    </a:xfrm>
                    <a:prstGeom prst="rect">
                      <a:avLst/>
                    </a:prstGeom>
                  </pic:spPr>
                </pic:pic>
              </a:graphicData>
            </a:graphic>
          </wp:inline>
        </w:drawing>
      </w:r>
    </w:p>
    <w:p w14:paraId="39EBE394" w14:textId="022D642D" w:rsidR="00881729" w:rsidRPr="00881729" w:rsidRDefault="00881729" w:rsidP="00881729">
      <w:pPr>
        <w:keepNext/>
        <w:rPr>
          <w:b/>
          <w:bCs/>
          <w:sz w:val="24"/>
          <w:szCs w:val="24"/>
        </w:rPr>
      </w:pPr>
      <w:r>
        <w:rPr>
          <w:b/>
          <w:bCs/>
          <w:sz w:val="24"/>
          <w:szCs w:val="24"/>
        </w:rPr>
        <w:lastRenderedPageBreak/>
        <w:t>Benchmark</w:t>
      </w:r>
    </w:p>
    <w:p w14:paraId="0E7A361D" w14:textId="574916C7" w:rsidR="00881729" w:rsidRDefault="00975FFC" w:rsidP="00C74DE0">
      <w:pPr>
        <w:rPr>
          <w:sz w:val="24"/>
          <w:szCs w:val="24"/>
        </w:rPr>
      </w:pPr>
      <w:r>
        <w:rPr>
          <w:noProof/>
        </w:rPr>
        <w:drawing>
          <wp:inline distT="0" distB="0" distL="0" distR="0" wp14:anchorId="29FBA364" wp14:editId="1177B1BA">
            <wp:extent cx="3781425" cy="1894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8028" cy="1902351"/>
                    </a:xfrm>
                    <a:prstGeom prst="rect">
                      <a:avLst/>
                    </a:prstGeom>
                  </pic:spPr>
                </pic:pic>
              </a:graphicData>
            </a:graphic>
          </wp:inline>
        </w:drawing>
      </w:r>
    </w:p>
    <w:p w14:paraId="6898966D" w14:textId="753B6CF7" w:rsidR="00414854" w:rsidRDefault="00471B7C" w:rsidP="00C74DE0">
      <w:pPr>
        <w:rPr>
          <w:sz w:val="24"/>
          <w:szCs w:val="24"/>
        </w:rPr>
      </w:pPr>
      <w:r>
        <w:rPr>
          <w:noProof/>
        </w:rPr>
        <w:drawing>
          <wp:inline distT="0" distB="0" distL="0" distR="0" wp14:anchorId="03D026B0" wp14:editId="6094EA6E">
            <wp:extent cx="3333750" cy="19854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9296" cy="2006604"/>
                    </a:xfrm>
                    <a:prstGeom prst="rect">
                      <a:avLst/>
                    </a:prstGeom>
                  </pic:spPr>
                </pic:pic>
              </a:graphicData>
            </a:graphic>
          </wp:inline>
        </w:drawing>
      </w:r>
    </w:p>
    <w:p w14:paraId="38815C1D" w14:textId="5FB5D109" w:rsidR="00881729" w:rsidRDefault="00881729" w:rsidP="00881729">
      <w:pPr>
        <w:pStyle w:val="Heading2"/>
      </w:pPr>
      <w:r>
        <w:t>Challenger</w:t>
      </w:r>
    </w:p>
    <w:p w14:paraId="5D213BC1" w14:textId="30844929" w:rsidR="00881729" w:rsidRDefault="009E2C27" w:rsidP="00881729">
      <w:r>
        <w:rPr>
          <w:noProof/>
        </w:rPr>
        <w:drawing>
          <wp:inline distT="0" distB="0" distL="0" distR="0" wp14:anchorId="5DF77AE4" wp14:editId="54C71996">
            <wp:extent cx="5731510" cy="40887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88765"/>
                    </a:xfrm>
                    <a:prstGeom prst="rect">
                      <a:avLst/>
                    </a:prstGeom>
                  </pic:spPr>
                </pic:pic>
              </a:graphicData>
            </a:graphic>
          </wp:inline>
        </w:drawing>
      </w:r>
    </w:p>
    <w:p w14:paraId="5BFD1CAC" w14:textId="7AE257BE" w:rsidR="004B7AD8" w:rsidRDefault="004B7AD8" w:rsidP="00881729">
      <w:r>
        <w:rPr>
          <w:noProof/>
        </w:rPr>
        <w:lastRenderedPageBreak/>
        <w:drawing>
          <wp:inline distT="0" distB="0" distL="0" distR="0" wp14:anchorId="0F547FA2" wp14:editId="41751BA0">
            <wp:extent cx="5731510" cy="44380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38015"/>
                    </a:xfrm>
                    <a:prstGeom prst="rect">
                      <a:avLst/>
                    </a:prstGeom>
                  </pic:spPr>
                </pic:pic>
              </a:graphicData>
            </a:graphic>
          </wp:inline>
        </w:drawing>
      </w:r>
    </w:p>
    <w:p w14:paraId="584D11C1" w14:textId="64E2718C" w:rsidR="00D26808" w:rsidRPr="00D26808" w:rsidRDefault="00D26808" w:rsidP="00D26808">
      <w:pPr>
        <w:keepNext/>
        <w:rPr>
          <w:b/>
          <w:bCs/>
        </w:rPr>
      </w:pPr>
      <w:r w:rsidRPr="00D26808">
        <w:rPr>
          <w:b/>
          <w:bCs/>
        </w:rPr>
        <w:lastRenderedPageBreak/>
        <w:t>Sensitivity of the lockdown period (14)</w:t>
      </w:r>
    </w:p>
    <w:p w14:paraId="5E2AE9A4" w14:textId="2748A7D5" w:rsidR="00D26808" w:rsidRDefault="009E2C27" w:rsidP="00881729">
      <w:r>
        <w:rPr>
          <w:noProof/>
        </w:rPr>
        <w:drawing>
          <wp:inline distT="0" distB="0" distL="0" distR="0" wp14:anchorId="295B5492" wp14:editId="034B0543">
            <wp:extent cx="5731510" cy="57492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749290"/>
                    </a:xfrm>
                    <a:prstGeom prst="rect">
                      <a:avLst/>
                    </a:prstGeom>
                  </pic:spPr>
                </pic:pic>
              </a:graphicData>
            </a:graphic>
          </wp:inline>
        </w:drawing>
      </w:r>
    </w:p>
    <w:p w14:paraId="5D30F709" w14:textId="787566A2" w:rsidR="00C74DE0" w:rsidRDefault="00C74DE0" w:rsidP="00BC7F9F">
      <w:pPr>
        <w:pStyle w:val="Heading1"/>
      </w:pPr>
      <w:r w:rsidRPr="00DA4FAF">
        <w:t>Conclusion</w:t>
      </w:r>
    </w:p>
    <w:p w14:paraId="4AEF5009" w14:textId="59DE346C" w:rsidR="00B3074D" w:rsidRDefault="00B3074D" w:rsidP="00B3074D"/>
    <w:p w14:paraId="3C8DF431" w14:textId="680B8F43" w:rsidR="00B3074D" w:rsidRDefault="00B3074D" w:rsidP="00B3074D">
      <w:pPr>
        <w:pStyle w:val="Heading1"/>
      </w:pPr>
      <w:r>
        <w:t>Further research</w:t>
      </w:r>
    </w:p>
    <w:p w14:paraId="4B48BC98" w14:textId="253C5685" w:rsidR="00B3074D"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available in more detail, such as the percentage of antibody rate for New York City by Modified Zip Code Tabulation Areas (MODZCTA) as shown in </w:t>
      </w:r>
      <w:r w:rsidRPr="00B3074D">
        <w:rPr>
          <w:highlight w:val="yellow"/>
        </w:rPr>
        <w:t>{Chart index}</w:t>
      </w:r>
      <w:r>
        <w:t xml:space="preserve">. </w:t>
      </w:r>
    </w:p>
    <w:p w14:paraId="56B6A8A0" w14:textId="76B2DC21" w:rsidR="00B3074D" w:rsidRPr="00B3074D" w:rsidRDefault="00B3074D" w:rsidP="00B3074D">
      <w:r>
        <w:rPr>
          <w:noProof/>
        </w:rPr>
        <w:lastRenderedPageBreak/>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96970"/>
                    </a:xfrm>
                    <a:prstGeom prst="rect">
                      <a:avLst/>
                    </a:prstGeom>
                  </pic:spPr>
                </pic:pic>
              </a:graphicData>
            </a:graphic>
          </wp:inline>
        </w:drawing>
      </w:r>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TAs.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13FEDBC1" w:rsidR="006C63A8" w:rsidRDefault="006C63A8" w:rsidP="00AA38DD">
      <w:pPr>
        <w:rPr>
          <w:sz w:val="24"/>
          <w:szCs w:val="24"/>
        </w:rPr>
      </w:pPr>
      <w:r>
        <w:rPr>
          <w:sz w:val="24"/>
          <w:szCs w:val="24"/>
        </w:rPr>
        <w:t xml:space="preserve">Bindiya Varghese and K. Poulose Jacob (2014), Spatial Clustering Algorithms – An Overview, Asia Journal of Computer Science and Information Technology, January 2014, sourced from: </w:t>
      </w:r>
      <w:hyperlink r:id="rId46" w:history="1">
        <w:r w:rsidRPr="002B1AA2">
          <w:rPr>
            <w:rStyle w:val="Hyperlink"/>
            <w:sz w:val="24"/>
            <w:szCs w:val="24"/>
          </w:rPr>
          <w:t>https://www.researchgate.net/publication/235605835_Spatial_Clustering_Algorithms-_An_Overview</w:t>
        </w:r>
      </w:hyperlink>
      <w:r>
        <w:rPr>
          <w:sz w:val="24"/>
          <w:szCs w:val="24"/>
        </w:rPr>
        <w:t xml:space="preserve"> </w:t>
      </w:r>
    </w:p>
    <w:p w14:paraId="67689FBB" w14:textId="77777777" w:rsidR="006C63A8" w:rsidRDefault="006C63A8" w:rsidP="006C63A8">
      <w:pPr>
        <w:rPr>
          <w:sz w:val="24"/>
          <w:szCs w:val="24"/>
        </w:rPr>
      </w:pPr>
      <w:r>
        <w:rPr>
          <w:sz w:val="24"/>
          <w:szCs w:val="24"/>
        </w:rPr>
        <w:t xml:space="preserve">Scott Baier and Samuel Standaert (2020), Gravity Models and Empirical Trade, Oxford Research Encyclopedias, source from: </w:t>
      </w:r>
      <w:hyperlink r:id="rId47"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4F9A2E4" w:rsidR="006C63A8" w:rsidRDefault="006C63A8" w:rsidP="00AA38DD">
      <w:pPr>
        <w:rPr>
          <w:sz w:val="24"/>
          <w:szCs w:val="24"/>
        </w:rPr>
      </w:pPr>
      <w:r>
        <w:rPr>
          <w:sz w:val="24"/>
          <w:szCs w:val="24"/>
        </w:rPr>
        <w:t xml:space="preserve">Vadim A. Karatayev, Madhur Anand, and Chris T. Bauch (2020), Local lockdowns outperform global lockdown on the far side of the COVID-19 epidemic curve, Proceedings of the National Academy of Science of the United States of America (PNAS), September 2019, sourced from: </w:t>
      </w:r>
      <w:hyperlink r:id="rId48"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2959FD2B" w:rsidR="00AA38DD" w:rsidRPr="00AA38DD" w:rsidRDefault="00AA38DD" w:rsidP="00BC7F9F">
      <w:pPr>
        <w:pStyle w:val="Heading1"/>
      </w:pPr>
      <w:r>
        <w:lastRenderedPageBreak/>
        <w:t>Appendix</w:t>
      </w:r>
    </w:p>
    <w:p w14:paraId="7F5B4464" w14:textId="3CAECECB" w:rsidR="00AA38DD" w:rsidRDefault="00AA38DD" w:rsidP="00BC7F9F">
      <w:pPr>
        <w:pStyle w:val="Heading2"/>
      </w:pPr>
      <w:r>
        <w:t>Appendix A – Covid-19 related news timeline in Australia, 2020</w:t>
      </w:r>
    </w:p>
    <w:p w14:paraId="19400DA7" w14:textId="0104D563" w:rsidR="00AA38DD" w:rsidRDefault="00AA38DD" w:rsidP="00AA38DD">
      <w:pPr>
        <w:rPr>
          <w:sz w:val="24"/>
          <w:szCs w:val="24"/>
        </w:rPr>
      </w:pPr>
      <w:r>
        <w:rPr>
          <w:sz w:val="24"/>
          <w:szCs w:val="24"/>
        </w:rPr>
        <w:t xml:space="preserve">Source: </w:t>
      </w:r>
      <w:hyperlink r:id="rId49"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91655"/>
                    </a:xfrm>
                    <a:prstGeom prst="rect">
                      <a:avLst/>
                    </a:prstGeom>
                  </pic:spPr>
                </pic:pic>
              </a:graphicData>
            </a:graphic>
          </wp:inline>
        </w:drawing>
      </w:r>
    </w:p>
    <w:p w14:paraId="5975D738" w14:textId="1095CFB3" w:rsidR="00AA38DD" w:rsidRPr="00AA38DD" w:rsidRDefault="00AA38DD" w:rsidP="00AA38DD">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849745"/>
                    </a:xfrm>
                    <a:prstGeom prst="rect">
                      <a:avLst/>
                    </a:prstGeom>
                  </pic:spPr>
                </pic:pic>
              </a:graphicData>
            </a:graphic>
          </wp:inline>
        </w:drawing>
      </w:r>
    </w:p>
    <w:p w14:paraId="4B0C4C91" w14:textId="77777777" w:rsidR="00AA38DD" w:rsidRDefault="00AA38DD">
      <w:pPr>
        <w:rPr>
          <w:b/>
          <w:bCs/>
          <w:sz w:val="24"/>
          <w:szCs w:val="24"/>
        </w:rPr>
      </w:pPr>
      <w:r>
        <w:rPr>
          <w:b/>
          <w:bCs/>
          <w:sz w:val="24"/>
          <w:szCs w:val="24"/>
        </w:rPr>
        <w:br w:type="page"/>
      </w:r>
    </w:p>
    <w:p w14:paraId="4FF965A4" w14:textId="7449B75C" w:rsidR="00AA38DD" w:rsidRDefault="00AA38DD" w:rsidP="00BC7F9F">
      <w:pPr>
        <w:pStyle w:val="Heading2"/>
      </w:pPr>
      <w:r>
        <w:lastRenderedPageBreak/>
        <w:t>Appendix B</w:t>
      </w:r>
    </w:p>
    <w:p w14:paraId="763C2FFB" w14:textId="534C99A2" w:rsidR="00AA38DD" w:rsidRPr="00AA38DD" w:rsidRDefault="00AA38DD" w:rsidP="00BC7F9F">
      <w:pPr>
        <w:pStyle w:val="Heading2"/>
      </w:pPr>
      <w:r>
        <w:t>Appendix C</w:t>
      </w:r>
    </w:p>
    <w:sectPr w:rsidR="00AA38DD" w:rsidRPr="00AA3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kwrwUAmI+U9iwAAAA="/>
  </w:docVars>
  <w:rsids>
    <w:rsidRoot w:val="007750E6"/>
    <w:rsid w:val="00006FDF"/>
    <w:rsid w:val="0001516B"/>
    <w:rsid w:val="00027B8B"/>
    <w:rsid w:val="0004751C"/>
    <w:rsid w:val="00047CBE"/>
    <w:rsid w:val="00053B3F"/>
    <w:rsid w:val="000712A3"/>
    <w:rsid w:val="000808B7"/>
    <w:rsid w:val="00095B05"/>
    <w:rsid w:val="000F664A"/>
    <w:rsid w:val="001064B3"/>
    <w:rsid w:val="001621B4"/>
    <w:rsid w:val="001716A4"/>
    <w:rsid w:val="0019475D"/>
    <w:rsid w:val="001B0ACB"/>
    <w:rsid w:val="001B4CF3"/>
    <w:rsid w:val="001B6493"/>
    <w:rsid w:val="00220837"/>
    <w:rsid w:val="00223DAD"/>
    <w:rsid w:val="00235C74"/>
    <w:rsid w:val="00241D54"/>
    <w:rsid w:val="00266718"/>
    <w:rsid w:val="002770F8"/>
    <w:rsid w:val="00290EA6"/>
    <w:rsid w:val="002B00CF"/>
    <w:rsid w:val="002B07BA"/>
    <w:rsid w:val="002B7637"/>
    <w:rsid w:val="002C0828"/>
    <w:rsid w:val="002C5280"/>
    <w:rsid w:val="00306646"/>
    <w:rsid w:val="00316A0B"/>
    <w:rsid w:val="003179A0"/>
    <w:rsid w:val="0035764F"/>
    <w:rsid w:val="00374563"/>
    <w:rsid w:val="003D4C36"/>
    <w:rsid w:val="00406A90"/>
    <w:rsid w:val="00414854"/>
    <w:rsid w:val="00414F69"/>
    <w:rsid w:val="00463963"/>
    <w:rsid w:val="00466261"/>
    <w:rsid w:val="00471B7C"/>
    <w:rsid w:val="0048511C"/>
    <w:rsid w:val="004A4736"/>
    <w:rsid w:val="004B2D39"/>
    <w:rsid w:val="004B7AD8"/>
    <w:rsid w:val="005214AF"/>
    <w:rsid w:val="00530C57"/>
    <w:rsid w:val="00544075"/>
    <w:rsid w:val="00567AF1"/>
    <w:rsid w:val="00574268"/>
    <w:rsid w:val="005C4A3D"/>
    <w:rsid w:val="005D5CDF"/>
    <w:rsid w:val="005E64D2"/>
    <w:rsid w:val="005F0E60"/>
    <w:rsid w:val="0061652F"/>
    <w:rsid w:val="00636AA5"/>
    <w:rsid w:val="00655F33"/>
    <w:rsid w:val="00684B93"/>
    <w:rsid w:val="006857DC"/>
    <w:rsid w:val="006868CD"/>
    <w:rsid w:val="00693A7F"/>
    <w:rsid w:val="00695AF6"/>
    <w:rsid w:val="00695E7E"/>
    <w:rsid w:val="006A240A"/>
    <w:rsid w:val="006B514F"/>
    <w:rsid w:val="006C63A8"/>
    <w:rsid w:val="006E1D73"/>
    <w:rsid w:val="00706A4F"/>
    <w:rsid w:val="00727EF0"/>
    <w:rsid w:val="00730073"/>
    <w:rsid w:val="00730ED3"/>
    <w:rsid w:val="00737D85"/>
    <w:rsid w:val="007450C3"/>
    <w:rsid w:val="007750E6"/>
    <w:rsid w:val="007E0B4B"/>
    <w:rsid w:val="007E0DD7"/>
    <w:rsid w:val="00861DCF"/>
    <w:rsid w:val="00881729"/>
    <w:rsid w:val="00892EAF"/>
    <w:rsid w:val="008954A3"/>
    <w:rsid w:val="008C0E85"/>
    <w:rsid w:val="0092673B"/>
    <w:rsid w:val="00932351"/>
    <w:rsid w:val="009450CC"/>
    <w:rsid w:val="009713F1"/>
    <w:rsid w:val="0097205F"/>
    <w:rsid w:val="00973AC3"/>
    <w:rsid w:val="00975FFC"/>
    <w:rsid w:val="009A3575"/>
    <w:rsid w:val="009E2C27"/>
    <w:rsid w:val="00A56191"/>
    <w:rsid w:val="00A616CF"/>
    <w:rsid w:val="00A72F85"/>
    <w:rsid w:val="00AA1D37"/>
    <w:rsid w:val="00AA38DD"/>
    <w:rsid w:val="00B14444"/>
    <w:rsid w:val="00B3074D"/>
    <w:rsid w:val="00B41634"/>
    <w:rsid w:val="00B46273"/>
    <w:rsid w:val="00B67771"/>
    <w:rsid w:val="00B84E88"/>
    <w:rsid w:val="00B87AFD"/>
    <w:rsid w:val="00BA4481"/>
    <w:rsid w:val="00BC7F9F"/>
    <w:rsid w:val="00C63D8B"/>
    <w:rsid w:val="00C74DE0"/>
    <w:rsid w:val="00CA0361"/>
    <w:rsid w:val="00CA4C8B"/>
    <w:rsid w:val="00CB397F"/>
    <w:rsid w:val="00CC0B37"/>
    <w:rsid w:val="00D23377"/>
    <w:rsid w:val="00D26808"/>
    <w:rsid w:val="00D70321"/>
    <w:rsid w:val="00D87EC0"/>
    <w:rsid w:val="00DA4FAF"/>
    <w:rsid w:val="00DD68EA"/>
    <w:rsid w:val="00E30D4A"/>
    <w:rsid w:val="00E31255"/>
    <w:rsid w:val="00E413E3"/>
    <w:rsid w:val="00E827DE"/>
    <w:rsid w:val="00E91E45"/>
    <w:rsid w:val="00EA792A"/>
    <w:rsid w:val="00F50CD4"/>
    <w:rsid w:val="00F52DF8"/>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C"/>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semiHidden/>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464393940">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aihw.gov.au/" TargetMode="External"/><Relationship Id="rId39"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abs.gov.au/websitedbs/censushome.nsf/home/factsheetsnas?opendocument&amp;navpos=450" TargetMode="External"/><Relationship Id="rId42" Type="http://schemas.openxmlformats.org/officeDocument/2006/relationships/image" Target="media/image22.png"/><Relationship Id="rId47" Type="http://schemas.openxmlformats.org/officeDocument/2006/relationships/hyperlink" Target="https://oxfordre.com/economics/view/10.1093/acrefore/9780190625979.001.0001/acrefore-9780190625979-e-327" TargetMode="External"/><Relationship Id="rId50"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cran/sp" TargetMode="External"/><Relationship Id="rId29" Type="http://schemas.openxmlformats.org/officeDocument/2006/relationships/hyperlink" Target="https://asl.acara.edu.au/home" TargetMode="External"/><Relationship Id="rId11" Type="http://schemas.openxmlformats.org/officeDocument/2006/relationships/image" Target="media/image6.png"/><Relationship Id="rId24" Type="http://schemas.openxmlformats.org/officeDocument/2006/relationships/hyperlink" Target="https://towardsdatascience.com/geospatial-clustering-kinds-and-uses-9aef7601f386" TargetMode="External"/><Relationship Id="rId32" Type="http://schemas.openxmlformats.org/officeDocument/2006/relationships/hyperlink" Target="https://www.yellowpages.com.au/find/supermarkets-grocery-stores/sydney-nsw-2000"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Wikipedia%20&#8211;%20List%20of%20shopping%20centres%20in%20Australia"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oxfordre.com/economics/view/10.1093/acrefore/9780190625979.001.0001/acrefore-9780190625979-e-327" TargetMode="External"/><Relationship Id="rId22" Type="http://schemas.openxmlformats.org/officeDocument/2006/relationships/hyperlink" Target="https://www.annualreviews.org/doi/abs/10.1146/annurev.soc.27.1.415?journalCode=soc" TargetMode="External"/><Relationship Id="rId27" Type="http://schemas.openxmlformats.org/officeDocument/2006/relationships/hyperlink" Target="https://www.aihw.gov.au/" TargetMode="External"/><Relationship Id="rId30" Type="http://schemas.openxmlformats.org/officeDocument/2006/relationships/hyperlink" Target="https://transportnsw.info/routes/train" TargetMode="External"/><Relationship Id="rId35" Type="http://schemas.openxmlformats.org/officeDocument/2006/relationships/hyperlink" Target="https://www.abs.gov.au/AUSSTATS/abs@.nsf/DetailsPage/1270.0.55.003July%202016?OpenDocument" TargetMode="External"/><Relationship Id="rId43" Type="http://schemas.openxmlformats.org/officeDocument/2006/relationships/image" Target="media/image23.png"/><Relationship Id="rId48" Type="http://schemas.openxmlformats.org/officeDocument/2006/relationships/hyperlink" Target="https://www.pnas.org/content/117/39/24575" TargetMode="External"/><Relationship Id="rId8" Type="http://schemas.openxmlformats.org/officeDocument/2006/relationships/image" Target="media/image3.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data.nsw.gov.au/data/dataset/nsw-covid-19-cases-by-location-and-likely-source-of-infection/resource/2776dbb8-f807-4fb2-b1ed-184a6fc2c8aa" TargetMode="External"/><Relationship Id="rId33" Type="http://schemas.openxmlformats.org/officeDocument/2006/relationships/hyperlink" Target="https://github.com/dkahle/ggmap" TargetMode="External"/><Relationship Id="rId38" Type="http://schemas.openxmlformats.org/officeDocument/2006/relationships/image" Target="media/image18.png"/><Relationship Id="rId46" Type="http://schemas.openxmlformats.org/officeDocument/2006/relationships/hyperlink" Target="https://www.researchgate.net/publication/235605835_Spatial_Clustering_Algorithms-_An_Overview" TargetMode="External"/><Relationship Id="rId20"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asl.acara.edu.au/home" TargetMode="External"/><Relationship Id="rId36" Type="http://schemas.openxmlformats.org/officeDocument/2006/relationships/image" Target="media/image16.png"/><Relationship Id="rId49" Type="http://schemas.openxmlformats.org/officeDocument/2006/relationships/hyperlink" Target="https://deborahalupton.medium.com/timeline-of-covid-19-in-australia-1f7df6ca5f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25</Pages>
  <Words>2370</Words>
  <Characters>13511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110</cp:revision>
  <dcterms:created xsi:type="dcterms:W3CDTF">2021-04-29T04:13:00Z</dcterms:created>
  <dcterms:modified xsi:type="dcterms:W3CDTF">2021-05-02T11:41:00Z</dcterms:modified>
</cp:coreProperties>
</file>