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68907" w14:textId="4C4F2704" w:rsidR="00EF5AD9" w:rsidRDefault="00717EBF" w:rsidP="00EF5AD9">
      <w:pPr>
        <w:pStyle w:val="Bullet"/>
      </w:pPr>
      <w:r>
        <w:t>There was a small upside surprise for UK CPI inflation in December, following a rise in tobacco duty</w:t>
      </w:r>
      <w:r w:rsidR="004951FD">
        <w:t>.</w:t>
      </w:r>
      <w:r>
        <w:t xml:space="preserve"> </w:t>
      </w:r>
      <w:r w:rsidR="004951FD">
        <w:t xml:space="preserve">But </w:t>
      </w:r>
      <w:r w:rsidR="0010132A">
        <w:t xml:space="preserve">wholesale </w:t>
      </w:r>
      <w:r>
        <w:t>gas prices have declined further in recent weeks</w:t>
      </w:r>
      <w:r w:rsidR="0010132A">
        <w:t>,</w:t>
      </w:r>
      <w:r>
        <w:t xml:space="preserve"> and we now think inflation </w:t>
      </w:r>
      <w:r w:rsidR="00037618">
        <w:t xml:space="preserve">will </w:t>
      </w:r>
      <w:r w:rsidR="0010132A">
        <w:t xml:space="preserve">fall </w:t>
      </w:r>
      <w:r w:rsidR="005246AD">
        <w:t xml:space="preserve">by </w:t>
      </w:r>
      <w:r w:rsidR="0010132A">
        <w:t>more</w:t>
      </w:r>
      <w:r>
        <w:t xml:space="preserve"> than we had previously expected. We now forecast CPI inflation </w:t>
      </w:r>
      <w:r w:rsidR="006722E2">
        <w:t xml:space="preserve">will </w:t>
      </w:r>
      <w:r>
        <w:t>average 2.1% in 2024.</w:t>
      </w:r>
    </w:p>
    <w:p w14:paraId="2D61D9FC" w14:textId="633352C8" w:rsidR="00EF5AD9" w:rsidRDefault="006722E2" w:rsidP="00EF5AD9">
      <w:pPr>
        <w:pStyle w:val="Bullet"/>
      </w:pPr>
      <w:r>
        <w:t xml:space="preserve">After </w:t>
      </w:r>
      <w:r w:rsidR="00A306CB">
        <w:t xml:space="preserve">edging </w:t>
      </w:r>
      <w:r w:rsidR="00110C7D">
        <w:t>up in January, w</w:t>
      </w:r>
      <w:r w:rsidR="007F2AB0">
        <w:t xml:space="preserve">e </w:t>
      </w:r>
      <w:r w:rsidR="00110C7D">
        <w:t>expect inflation to fall sharply in the following few months, returning to the Bank of England's 2% target as early as April</w:t>
      </w:r>
      <w:r w:rsidR="000A7B1D">
        <w:t xml:space="preserve">. As well as a double digit </w:t>
      </w:r>
      <w:r w:rsidR="00263DE2">
        <w:t>decline</w:t>
      </w:r>
      <w:r w:rsidR="000A7B1D">
        <w:t xml:space="preserve"> in the energy price cap in April</w:t>
      </w:r>
      <w:r w:rsidR="00D922A1">
        <w:t xml:space="preserve">, </w:t>
      </w:r>
      <w:r w:rsidR="007F2AB0">
        <w:t xml:space="preserve">strong base effects </w:t>
      </w:r>
      <w:r w:rsidR="00D922A1">
        <w:t xml:space="preserve">will </w:t>
      </w:r>
      <w:r w:rsidR="007F2AB0">
        <w:t xml:space="preserve">come into play in the food category and core pressures </w:t>
      </w:r>
      <w:r w:rsidR="00D922A1">
        <w:t xml:space="preserve">should </w:t>
      </w:r>
      <w:r w:rsidR="007F2AB0">
        <w:t>continue to weaken.</w:t>
      </w:r>
    </w:p>
    <w:p w14:paraId="66E95A33" w14:textId="746A749A" w:rsidR="00076672" w:rsidRDefault="00076672" w:rsidP="00076672">
      <w:r>
        <w:t xml:space="preserve">CPI inflation rose to 4% in December, from 3.9% in November. </w:t>
      </w:r>
      <w:r w:rsidR="005C42BE">
        <w:t>The small increase mostly reflected December's jump in tobacco duty</w:t>
      </w:r>
      <w:r w:rsidR="00017569">
        <w:t>, while there was a more normal</w:t>
      </w:r>
      <w:r w:rsidR="00B12C5C">
        <w:t xml:space="preserve"> m/m </w:t>
      </w:r>
      <w:r w:rsidR="00017569">
        <w:t xml:space="preserve">rise in services prices, </w:t>
      </w:r>
      <w:r w:rsidR="00B12C5C">
        <w:t xml:space="preserve">after a string of weak </w:t>
      </w:r>
      <w:r w:rsidR="00A67F0E">
        <w:t>outturns</w:t>
      </w:r>
      <w:r w:rsidR="00B12C5C">
        <w:t xml:space="preserve">. RPI and RPIX inflation </w:t>
      </w:r>
      <w:r w:rsidR="00066ECA">
        <w:t>both fell 0.1ppt to 5.2% and 4% respectively in December.</w:t>
      </w:r>
    </w:p>
    <w:p w14:paraId="7A6FC46A" w14:textId="6ED8E94A" w:rsidR="00D77F75" w:rsidRDefault="00426937" w:rsidP="00913EF4">
      <w:r>
        <w:t xml:space="preserve">Inflation will likely </w:t>
      </w:r>
      <w:r w:rsidR="00A306CB">
        <w:t>edge</w:t>
      </w:r>
      <w:r>
        <w:t xml:space="preserve"> up </w:t>
      </w:r>
      <w:r w:rsidR="00A306CB">
        <w:t xml:space="preserve">again </w:t>
      </w:r>
      <w:r>
        <w:t>in January</w:t>
      </w:r>
      <w:r w:rsidR="00F95317">
        <w:t>,</w:t>
      </w:r>
      <w:r w:rsidR="00A306CB">
        <w:t xml:space="preserve"> </w:t>
      </w:r>
      <w:r w:rsidR="00F95317" w:rsidRPr="00F95317">
        <w:t xml:space="preserve">as the </w:t>
      </w:r>
      <w:r w:rsidR="00F95317">
        <w:t>increase in the</w:t>
      </w:r>
      <w:r w:rsidR="00F95317" w:rsidRPr="00F95317">
        <w:t xml:space="preserve"> energy price cap takes effect and core inflation is boosted by the comparison with a particularly low outturn in the same month in 2023</w:t>
      </w:r>
      <w:r w:rsidR="00F95317">
        <w:t xml:space="preserve">. But </w:t>
      </w:r>
      <w:hyperlink r:id="rId7" w:history="1">
        <w:r w:rsidR="00D5396D" w:rsidRPr="00D5396D">
          <w:rPr>
            <w:rStyle w:val="Hyperlink"/>
          </w:rPr>
          <w:t>inflation should then fall sharply</w:t>
        </w:r>
      </w:hyperlink>
      <w:r w:rsidR="00D5396D">
        <w:t xml:space="preserve"> over the following few months, returning to the Bank of England's 2% target as soon as April.</w:t>
      </w:r>
    </w:p>
    <w:p w14:paraId="4B10ADA1" w14:textId="3720A0F9" w:rsidR="009C7198" w:rsidRDefault="00C11027" w:rsidP="00913EF4">
      <w:r>
        <w:t>A</w:t>
      </w:r>
      <w:r w:rsidRPr="00C11027">
        <w:t xml:space="preserve">ll the major components will either be dragging on CPI inflation or making smaller positive contributions </w:t>
      </w:r>
      <w:r w:rsidR="008378C1">
        <w:t>by April</w:t>
      </w:r>
      <w:r>
        <w:t xml:space="preserve">. </w:t>
      </w:r>
      <w:r w:rsidR="00AC1FDF">
        <w:t>Food price</w:t>
      </w:r>
      <w:r w:rsidR="00C01081">
        <w:t xml:space="preserve"> inflation i</w:t>
      </w:r>
      <w:r w:rsidR="00AC1FDF">
        <w:t xml:space="preserve">s likely to cool rapidly as the category </w:t>
      </w:r>
      <w:r w:rsidR="00AC1FDF" w:rsidRPr="005C2B32">
        <w:t>benefit</w:t>
      </w:r>
      <w:r w:rsidR="00AC1FDF">
        <w:t>s</w:t>
      </w:r>
      <w:r w:rsidR="00AC1FDF" w:rsidRPr="005C2B32">
        <w:t xml:space="preserve"> from favourable base effects</w:t>
      </w:r>
      <w:r w:rsidR="00AC1FDF">
        <w:t>. Core pressures should continue to soften</w:t>
      </w:r>
      <w:r w:rsidR="00BC0440">
        <w:t>, particularly</w:t>
      </w:r>
      <w:r w:rsidR="00AC1FDF">
        <w:t xml:space="preserve"> as firms pass on their lower energy costs to consumers</w:t>
      </w:r>
      <w:r w:rsidR="00BC0440">
        <w:t xml:space="preserve">. </w:t>
      </w:r>
      <w:r w:rsidR="009C7198">
        <w:t>D</w:t>
      </w:r>
      <w:r w:rsidR="000D59F4">
        <w:t xml:space="preserve">espite geopolitical-related volatility, </w:t>
      </w:r>
      <w:r w:rsidR="0005364E">
        <w:t xml:space="preserve">we expect </w:t>
      </w:r>
      <w:r w:rsidR="000D59F4">
        <w:t xml:space="preserve">oil prices </w:t>
      </w:r>
      <w:r w:rsidR="0005364E">
        <w:t>to stabilise at lower levels than last year</w:t>
      </w:r>
      <w:r w:rsidR="0056776B">
        <w:t xml:space="preserve">. And </w:t>
      </w:r>
      <w:r w:rsidR="0056776B">
        <w:t>w</w:t>
      </w:r>
      <w:r w:rsidR="009C7198">
        <w:t>holesale gas prices have fallen sharply, mean</w:t>
      </w:r>
      <w:r w:rsidR="0056776B">
        <w:t>ing</w:t>
      </w:r>
      <w:r w:rsidR="009C7198">
        <w:t xml:space="preserve"> that the Ofgem energy price cap is now on track to fall by </w:t>
      </w:r>
      <w:r w:rsidR="00FF2CF1">
        <w:t>14%</w:t>
      </w:r>
      <w:r w:rsidR="009C7198">
        <w:t xml:space="preserve"> in April.</w:t>
      </w:r>
    </w:p>
    <w:p w14:paraId="7FE41267" w14:textId="09CF4477" w:rsidR="00076672" w:rsidRDefault="00E27100" w:rsidP="00913EF4">
      <w:r>
        <w:t xml:space="preserve">The </w:t>
      </w:r>
      <w:r w:rsidR="00781A66">
        <w:t xml:space="preserve">continued </w:t>
      </w:r>
      <w:r>
        <w:t>fall in gas prices</w:t>
      </w:r>
      <w:r w:rsidR="000D59F4">
        <w:t xml:space="preserve"> </w:t>
      </w:r>
      <w:r w:rsidR="00781A66">
        <w:t xml:space="preserve">since our December update has </w:t>
      </w:r>
      <w:r w:rsidR="005727CD">
        <w:t xml:space="preserve">resulted in us lowering our </w:t>
      </w:r>
      <w:r w:rsidR="000D59F4">
        <w:t xml:space="preserve">2024 CPI inflation forecast </w:t>
      </w:r>
      <w:r w:rsidR="005727CD">
        <w:t>by 0.3ppts</w:t>
      </w:r>
      <w:r w:rsidR="000D59F4">
        <w:t>. We now expect CPI inflation to average 2.1% this year.</w:t>
      </w:r>
      <w:r w:rsidR="00341969">
        <w:t xml:space="preserve"> </w:t>
      </w:r>
    </w:p>
    <w:p w14:paraId="4CB9ACD0" w14:textId="14F7CB49" w:rsidR="00EF5AD9" w:rsidRDefault="00EF5AD9" w:rsidP="005C2B32">
      <w:pPr>
        <w:pStyle w:val="ExhibitTitle"/>
        <w:jc w:val="center"/>
      </w:pPr>
      <w:r>
        <w:t xml:space="preserve">Chart </w:t>
      </w:r>
      <w:r>
        <w:fldChar w:fldCharType="begin"/>
      </w:r>
      <w:r w:rsidR="003B0611">
        <w:instrText>SEQ CHART</w:instrText>
      </w:r>
      <w:r>
        <w:fldChar w:fldCharType="separate"/>
      </w:r>
      <w:r w:rsidR="003B0611">
        <w:rPr>
          <w:noProof/>
        </w:rPr>
        <w:t>1</w:t>
      </w:r>
      <w:r>
        <w:fldChar w:fldCharType="end"/>
      </w:r>
      <w:r>
        <w:t xml:space="preserve">: </w:t>
      </w:r>
      <w:r w:rsidR="005C2B32">
        <w:t>Recent declines in gas prices have lowered our 2024 inflation forecast to 2.1%</w:t>
      </w:r>
    </w:p>
    <w:p w14:paraId="4565C9AB" w14:textId="46354344" w:rsidR="005C2B32" w:rsidRDefault="005C2B32" w:rsidP="005C2B32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4625A0E" wp14:editId="4CAB0B9F">
            <wp:extent cx="4006964" cy="3145495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9B33" w14:textId="4F850375" w:rsidR="00DE0839" w:rsidRDefault="005C2B32" w:rsidP="005C2B32">
      <w:pPr>
        <w:pStyle w:val="ExhibitSource"/>
        <w:jc w:val="center"/>
      </w:pPr>
      <w:r>
        <w:t>Sources: Oxford Economics, Haver Analytics</w:t>
      </w:r>
    </w:p>
    <w:p w14:paraId="3CE28FAC" w14:textId="77777777" w:rsidR="003B0611" w:rsidRPr="003B0611" w:rsidRDefault="003B0611" w:rsidP="001E4B65"/>
    <w:sectPr w:rsidR="003B0611" w:rsidRPr="003B0611" w:rsidSect="005C2B32">
      <w:headerReference w:type="even" r:id="rId10"/>
      <w:headerReference w:type="default" r:id="rId11"/>
      <w:headerReference w:type="first" r:id="rId12"/>
      <w:footerReference w:type="first" r:id="rId13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92642" w14:textId="77777777" w:rsidR="00EF5AD9" w:rsidRDefault="00EF5AD9" w:rsidP="00EF5AD9">
      <w:pPr>
        <w:spacing w:before="0" w:after="0"/>
      </w:pPr>
      <w:r>
        <w:separator/>
      </w:r>
    </w:p>
  </w:endnote>
  <w:endnote w:type="continuationSeparator" w:id="0">
    <w:p w14:paraId="3BAE8D64" w14:textId="77777777" w:rsidR="00EF5AD9" w:rsidRDefault="00EF5AD9" w:rsidP="00EF5AD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48491" w14:textId="0288E359" w:rsidR="00EF5AD9" w:rsidRDefault="00EF5AD9" w:rsidP="00EF5AD9">
    <w:pPr>
      <w:pStyle w:val="Author"/>
    </w:pPr>
    <w:r>
      <w:t>Edward Allenby</w:t>
    </w:r>
    <w:r w:rsidR="001E4B65">
      <w:t xml:space="preserve"> - </w:t>
    </w:r>
    <w:r>
      <w:t>UK Economist</w:t>
    </w:r>
    <w:r w:rsidR="001E4B65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CDAC4" w14:textId="77777777" w:rsidR="00EF5AD9" w:rsidRDefault="00EF5AD9" w:rsidP="00EF5AD9">
      <w:pPr>
        <w:spacing w:before="0" w:after="0"/>
      </w:pPr>
      <w:r>
        <w:separator/>
      </w:r>
    </w:p>
  </w:footnote>
  <w:footnote w:type="continuationSeparator" w:id="0">
    <w:p w14:paraId="7F0FA2C2" w14:textId="77777777" w:rsidR="00EF5AD9" w:rsidRDefault="00EF5AD9" w:rsidP="00EF5AD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68016" w14:textId="77777777" w:rsidR="00EF5AD9" w:rsidRDefault="00EF5AD9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49F91" w14:textId="77777777" w:rsidR="00EF5AD9" w:rsidRDefault="00EF5AD9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26124" w14:textId="00BCDDA7" w:rsidR="00EF5AD9" w:rsidRDefault="00EF5AD9" w:rsidP="00EF5AD9">
    <w:r w:rsidRPr="00EF5AD9">
      <w:rPr>
        <w:noProof/>
      </w:rPr>
      <w:drawing>
        <wp:anchor distT="0" distB="0" distL="114300" distR="114300" simplePos="0" relativeHeight="251659264" behindDoc="1" locked="1" layoutInCell="1" allowOverlap="1" wp14:anchorId="033BB37E" wp14:editId="33CDFF03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1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1015039417"/>
      <w:lock w:val="sdtLocked"/>
      <w:placeholder>
        <w:docPart w:val="DefaultPlaceholder_-1854013437"/>
      </w:placeholder>
      <w:date w:fullDate="2024-01-17T00:00:00Z">
        <w:dateFormat w:val="d MMMM yyyy"/>
        <w:lid w:val="en-GB"/>
        <w:storeMappedDataAs w:val="dateTime"/>
        <w:calendar w:val="gregorian"/>
      </w:date>
    </w:sdtPr>
    <w:sdtEndPr/>
    <w:sdtContent>
      <w:p w14:paraId="688FEEB0" w14:textId="730F3006" w:rsidR="00EF5AD9" w:rsidRDefault="00EF5AD9" w:rsidP="00EF5AD9">
        <w:pPr>
          <w:pStyle w:val="PublishDate"/>
          <w:framePr w:w="2835" w:h="340" w:hRule="exact" w:hSpace="180" w:wrap="around" w:vAnchor="page" w:hAnchor="page" w:x="7801" w:y="601" w:anchorLock="1"/>
        </w:pPr>
        <w:r>
          <w:t>17 January 2024</w:t>
        </w:r>
      </w:p>
    </w:sdtContent>
  </w:sdt>
  <w:p w14:paraId="5BA32B0A" w14:textId="31EA1CC7" w:rsidR="00EF5AD9" w:rsidRDefault="00EF5AD9" w:rsidP="00EF5AD9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39BD753D" w14:textId="534CF062" w:rsidR="00EF5AD9" w:rsidRDefault="007F2AB0" w:rsidP="00EF5AD9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2024 inflation forecast cut due to lower gas prices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7C288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54A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222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6EB2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C4E3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6F2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88D6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DC6C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C2E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06B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631E12"/>
    <w:multiLevelType w:val="hybridMultilevel"/>
    <w:tmpl w:val="9EB8A598"/>
    <w:lvl w:ilvl="0" w:tplc="4AA61DF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66A5E"/>
    <w:multiLevelType w:val="hybridMultilevel"/>
    <w:tmpl w:val="ACE8EDBE"/>
    <w:lvl w:ilvl="0" w:tplc="88FEDC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6F32CF"/>
    <w:multiLevelType w:val="hybridMultilevel"/>
    <w:tmpl w:val="BE80DE78"/>
    <w:lvl w:ilvl="0" w:tplc="2ACE6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AF2819"/>
    <w:multiLevelType w:val="hybridMultilevel"/>
    <w:tmpl w:val="157C753A"/>
    <w:lvl w:ilvl="0" w:tplc="047AFB1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0809A8"/>
    <w:multiLevelType w:val="hybridMultilevel"/>
    <w:tmpl w:val="5A90D112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12899"/>
    <w:multiLevelType w:val="hybridMultilevel"/>
    <w:tmpl w:val="80E44722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27C37"/>
    <w:multiLevelType w:val="hybridMultilevel"/>
    <w:tmpl w:val="2BB0871A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14A7F"/>
    <w:multiLevelType w:val="hybridMultilevel"/>
    <w:tmpl w:val="5FC0DC60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D68A8"/>
    <w:multiLevelType w:val="hybridMultilevel"/>
    <w:tmpl w:val="C1EC2B32"/>
    <w:lvl w:ilvl="0" w:tplc="88E8C1B2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  <w:color w:val="3D4D79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 w15:restartNumberingAfterBreak="0">
    <w:nsid w:val="2937580B"/>
    <w:multiLevelType w:val="hybridMultilevel"/>
    <w:tmpl w:val="EB047A7C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249EA"/>
    <w:multiLevelType w:val="hybridMultilevel"/>
    <w:tmpl w:val="8CAAC5DC"/>
    <w:lvl w:ilvl="0" w:tplc="9CB8E80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F448B"/>
    <w:multiLevelType w:val="hybridMultilevel"/>
    <w:tmpl w:val="7F02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C6CA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67277C7"/>
    <w:multiLevelType w:val="hybridMultilevel"/>
    <w:tmpl w:val="D158A6DA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539D0"/>
    <w:multiLevelType w:val="hybridMultilevel"/>
    <w:tmpl w:val="42541D1C"/>
    <w:lvl w:ilvl="0" w:tplc="60121A1E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FE14C4"/>
    <w:multiLevelType w:val="hybridMultilevel"/>
    <w:tmpl w:val="C9484A32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B67AD"/>
    <w:multiLevelType w:val="hybridMultilevel"/>
    <w:tmpl w:val="44E8EBD6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EC682A"/>
    <w:multiLevelType w:val="hybridMultilevel"/>
    <w:tmpl w:val="9EE8CC52"/>
    <w:lvl w:ilvl="0" w:tplc="797642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541FD"/>
    <w:multiLevelType w:val="hybridMultilevel"/>
    <w:tmpl w:val="9574031A"/>
    <w:lvl w:ilvl="0" w:tplc="3C4A3C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C224E"/>
    <w:multiLevelType w:val="hybridMultilevel"/>
    <w:tmpl w:val="656E90C8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D3B55"/>
    <w:multiLevelType w:val="hybridMultilevel"/>
    <w:tmpl w:val="DF6E0320"/>
    <w:lvl w:ilvl="0" w:tplc="EE083EF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714373"/>
    <w:multiLevelType w:val="hybridMultilevel"/>
    <w:tmpl w:val="C3145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62A0F"/>
    <w:multiLevelType w:val="hybridMultilevel"/>
    <w:tmpl w:val="62FAAB68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775CD"/>
    <w:multiLevelType w:val="hybridMultilevel"/>
    <w:tmpl w:val="6B0E6210"/>
    <w:lvl w:ilvl="0" w:tplc="6AA6C10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934573"/>
    <w:multiLevelType w:val="multilevel"/>
    <w:tmpl w:val="B352DD0C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71A5AA8"/>
    <w:multiLevelType w:val="hybridMultilevel"/>
    <w:tmpl w:val="53EE3E6E"/>
    <w:lvl w:ilvl="0" w:tplc="1C6A6FC0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A20213"/>
    <w:multiLevelType w:val="hybridMultilevel"/>
    <w:tmpl w:val="8E3294BA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321EE"/>
    <w:multiLevelType w:val="hybridMultilevel"/>
    <w:tmpl w:val="B3986AB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1" w15:restartNumberingAfterBreak="0">
    <w:nsid w:val="646D6F89"/>
    <w:multiLevelType w:val="hybridMultilevel"/>
    <w:tmpl w:val="3602343A"/>
    <w:lvl w:ilvl="0" w:tplc="B3C29B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843C1"/>
    <w:multiLevelType w:val="hybridMultilevel"/>
    <w:tmpl w:val="EC5AE4DA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13A18"/>
    <w:multiLevelType w:val="hybridMultilevel"/>
    <w:tmpl w:val="FB104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6FB00AB4"/>
    <w:multiLevelType w:val="hybridMultilevel"/>
    <w:tmpl w:val="A8CC42E2"/>
    <w:lvl w:ilvl="0" w:tplc="71A6902E">
      <w:start w:val="1"/>
      <w:numFmt w:val="bullet"/>
      <w:lvlRestart w:val="0"/>
      <w:lvlText w:val=""/>
      <w:lvlJc w:val="left"/>
      <w:pPr>
        <w:ind w:left="436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6" w15:restartNumberingAfterBreak="0">
    <w:nsid w:val="6FE038AD"/>
    <w:multiLevelType w:val="hybridMultilevel"/>
    <w:tmpl w:val="2C2026B0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473CBD"/>
    <w:multiLevelType w:val="hybridMultilevel"/>
    <w:tmpl w:val="CE008BB4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1E78D7"/>
    <w:multiLevelType w:val="hybridMultilevel"/>
    <w:tmpl w:val="250EEE86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66196">
    <w:abstractNumId w:val="34"/>
  </w:num>
  <w:num w:numId="2" w16cid:durableId="75134137">
    <w:abstractNumId w:val="24"/>
  </w:num>
  <w:num w:numId="3" w16cid:durableId="981078610">
    <w:abstractNumId w:val="26"/>
  </w:num>
  <w:num w:numId="4" w16cid:durableId="428233169">
    <w:abstractNumId w:val="19"/>
  </w:num>
  <w:num w:numId="5" w16cid:durableId="1958902452">
    <w:abstractNumId w:val="21"/>
  </w:num>
  <w:num w:numId="6" w16cid:durableId="672530442">
    <w:abstractNumId w:val="28"/>
  </w:num>
  <w:num w:numId="7" w16cid:durableId="767652196">
    <w:abstractNumId w:val="42"/>
  </w:num>
  <w:num w:numId="8" w16cid:durableId="1674454905">
    <w:abstractNumId w:val="15"/>
  </w:num>
  <w:num w:numId="9" w16cid:durableId="431895864">
    <w:abstractNumId w:val="43"/>
  </w:num>
  <w:num w:numId="10" w16cid:durableId="1929188367">
    <w:abstractNumId w:val="12"/>
  </w:num>
  <w:num w:numId="11" w16cid:durableId="658076910">
    <w:abstractNumId w:val="29"/>
  </w:num>
  <w:num w:numId="12" w16cid:durableId="805397806">
    <w:abstractNumId w:val="39"/>
  </w:num>
  <w:num w:numId="13" w16cid:durableId="1926642984">
    <w:abstractNumId w:val="17"/>
  </w:num>
  <w:num w:numId="14" w16cid:durableId="1471636042">
    <w:abstractNumId w:val="46"/>
  </w:num>
  <w:num w:numId="15" w16cid:durableId="162354954">
    <w:abstractNumId w:val="35"/>
  </w:num>
  <w:num w:numId="16" w16cid:durableId="1753045170">
    <w:abstractNumId w:val="32"/>
  </w:num>
  <w:num w:numId="17" w16cid:durableId="1517959097">
    <w:abstractNumId w:val="18"/>
  </w:num>
  <w:num w:numId="18" w16cid:durableId="1988246029">
    <w:abstractNumId w:val="16"/>
  </w:num>
  <w:num w:numId="19" w16cid:durableId="1287735551">
    <w:abstractNumId w:val="47"/>
  </w:num>
  <w:num w:numId="20" w16cid:durableId="585655357">
    <w:abstractNumId w:val="48"/>
  </w:num>
  <w:num w:numId="21" w16cid:durableId="1435511312">
    <w:abstractNumId w:val="9"/>
  </w:num>
  <w:num w:numId="22" w16cid:durableId="1894076359">
    <w:abstractNumId w:val="7"/>
  </w:num>
  <w:num w:numId="23" w16cid:durableId="1453475287">
    <w:abstractNumId w:val="6"/>
  </w:num>
  <w:num w:numId="24" w16cid:durableId="191265367">
    <w:abstractNumId w:val="5"/>
  </w:num>
  <w:num w:numId="25" w16cid:durableId="466514672">
    <w:abstractNumId w:val="4"/>
  </w:num>
  <w:num w:numId="26" w16cid:durableId="584145816">
    <w:abstractNumId w:val="8"/>
  </w:num>
  <w:num w:numId="27" w16cid:durableId="641619738">
    <w:abstractNumId w:val="3"/>
  </w:num>
  <w:num w:numId="28" w16cid:durableId="1051348662">
    <w:abstractNumId w:val="2"/>
  </w:num>
  <w:num w:numId="29" w16cid:durableId="1579904626">
    <w:abstractNumId w:val="1"/>
  </w:num>
  <w:num w:numId="30" w16cid:durableId="1424837898">
    <w:abstractNumId w:val="0"/>
  </w:num>
  <w:num w:numId="31" w16cid:durableId="1047678479">
    <w:abstractNumId w:val="40"/>
  </w:num>
  <w:num w:numId="32" w16cid:durableId="1589532578">
    <w:abstractNumId w:val="45"/>
  </w:num>
  <w:num w:numId="33" w16cid:durableId="479228334">
    <w:abstractNumId w:val="20"/>
  </w:num>
  <w:num w:numId="34" w16cid:durableId="1664621307">
    <w:abstractNumId w:val="23"/>
  </w:num>
  <w:num w:numId="35" w16cid:durableId="1439375514">
    <w:abstractNumId w:val="14"/>
  </w:num>
  <w:num w:numId="36" w16cid:durableId="1716810969">
    <w:abstractNumId w:val="31"/>
  </w:num>
  <w:num w:numId="37" w16cid:durableId="98716860">
    <w:abstractNumId w:val="13"/>
  </w:num>
  <w:num w:numId="38" w16cid:durableId="2120709967">
    <w:abstractNumId w:val="30"/>
  </w:num>
  <w:num w:numId="39" w16cid:durableId="1874879691">
    <w:abstractNumId w:val="27"/>
  </w:num>
  <w:num w:numId="40" w16cid:durableId="2094206602">
    <w:abstractNumId w:val="38"/>
  </w:num>
  <w:num w:numId="41" w16cid:durableId="54817852">
    <w:abstractNumId w:val="22"/>
  </w:num>
  <w:num w:numId="42" w16cid:durableId="1862282606">
    <w:abstractNumId w:val="33"/>
  </w:num>
  <w:num w:numId="43" w16cid:durableId="405734835">
    <w:abstractNumId w:val="36"/>
  </w:num>
  <w:num w:numId="44" w16cid:durableId="1506476361">
    <w:abstractNumId w:val="11"/>
  </w:num>
  <w:num w:numId="45" w16cid:durableId="2074311132">
    <w:abstractNumId w:val="11"/>
    <w:lvlOverride w:ilvl="0">
      <w:startOverride w:val="1"/>
    </w:lvlOverride>
  </w:num>
  <w:num w:numId="46" w16cid:durableId="1658680794">
    <w:abstractNumId w:val="44"/>
  </w:num>
  <w:num w:numId="47" w16cid:durableId="136843725">
    <w:abstractNumId w:val="41"/>
  </w:num>
  <w:num w:numId="48" w16cid:durableId="503790523">
    <w:abstractNumId w:val="37"/>
  </w:num>
  <w:num w:numId="49" w16cid:durableId="892042253">
    <w:abstractNumId w:val="25"/>
  </w:num>
  <w:num w:numId="50" w16cid:durableId="13344548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cumentProtection w:formatting="1" w:enforcement="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D9"/>
    <w:rsid w:val="00017569"/>
    <w:rsid w:val="00037618"/>
    <w:rsid w:val="0005364E"/>
    <w:rsid w:val="000625EE"/>
    <w:rsid w:val="00066ECA"/>
    <w:rsid w:val="00076672"/>
    <w:rsid w:val="00095DC5"/>
    <w:rsid w:val="000A7B1D"/>
    <w:rsid w:val="000D59F4"/>
    <w:rsid w:val="000F48C1"/>
    <w:rsid w:val="0010132A"/>
    <w:rsid w:val="00110C7D"/>
    <w:rsid w:val="00141C53"/>
    <w:rsid w:val="00190573"/>
    <w:rsid w:val="001D1AEC"/>
    <w:rsid w:val="001E4B65"/>
    <w:rsid w:val="00235C14"/>
    <w:rsid w:val="00244173"/>
    <w:rsid w:val="00263DE2"/>
    <w:rsid w:val="002E6BE5"/>
    <w:rsid w:val="00306CD0"/>
    <w:rsid w:val="00341969"/>
    <w:rsid w:val="003A3EBE"/>
    <w:rsid w:val="003B0611"/>
    <w:rsid w:val="00415A01"/>
    <w:rsid w:val="00425007"/>
    <w:rsid w:val="00426937"/>
    <w:rsid w:val="0049365B"/>
    <w:rsid w:val="004951FD"/>
    <w:rsid w:val="004E7E62"/>
    <w:rsid w:val="005246AD"/>
    <w:rsid w:val="0056776B"/>
    <w:rsid w:val="005727CD"/>
    <w:rsid w:val="005B70E8"/>
    <w:rsid w:val="005C2B32"/>
    <w:rsid w:val="005C42BE"/>
    <w:rsid w:val="005D1BBF"/>
    <w:rsid w:val="006722E2"/>
    <w:rsid w:val="00717EBF"/>
    <w:rsid w:val="0072192A"/>
    <w:rsid w:val="007536A0"/>
    <w:rsid w:val="00781A66"/>
    <w:rsid w:val="007F2AB0"/>
    <w:rsid w:val="007F7BA9"/>
    <w:rsid w:val="008378C1"/>
    <w:rsid w:val="00865954"/>
    <w:rsid w:val="00875FC8"/>
    <w:rsid w:val="00894C5A"/>
    <w:rsid w:val="00913EF4"/>
    <w:rsid w:val="009439DA"/>
    <w:rsid w:val="009C7198"/>
    <w:rsid w:val="00A306CB"/>
    <w:rsid w:val="00A67F0E"/>
    <w:rsid w:val="00AB790B"/>
    <w:rsid w:val="00AC1FDF"/>
    <w:rsid w:val="00AD3976"/>
    <w:rsid w:val="00B12C5C"/>
    <w:rsid w:val="00BC0440"/>
    <w:rsid w:val="00C01081"/>
    <w:rsid w:val="00C11027"/>
    <w:rsid w:val="00CD75A6"/>
    <w:rsid w:val="00D5396D"/>
    <w:rsid w:val="00D77F75"/>
    <w:rsid w:val="00D922A1"/>
    <w:rsid w:val="00DC5590"/>
    <w:rsid w:val="00DE0839"/>
    <w:rsid w:val="00E27100"/>
    <w:rsid w:val="00E5627F"/>
    <w:rsid w:val="00ED27F6"/>
    <w:rsid w:val="00EF5AD9"/>
    <w:rsid w:val="00F11ADE"/>
    <w:rsid w:val="00F22E61"/>
    <w:rsid w:val="00F251B3"/>
    <w:rsid w:val="00F33146"/>
    <w:rsid w:val="00F95317"/>
    <w:rsid w:val="00FC45E5"/>
    <w:rsid w:val="00FF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13F3D96"/>
  <w15:chartTrackingRefBased/>
  <w15:docId w15:val="{ED87E9AA-3FAD-4C19-A509-B1BF5F38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D9"/>
    <w:pPr>
      <w:spacing w:before="100" w:after="1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AD9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F5AD9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AD9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AD9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EF5A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EF5A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EF5A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EF5A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EF5A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EF5AD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AD9"/>
    <w:rPr>
      <w:rFonts w:ascii="Segoe UI" w:hAnsi="Segoe UI" w:cs="Segoe UI"/>
      <w:noProof w:val="0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EF5AD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AD9"/>
    <w:rPr>
      <w:rFonts w:ascii="Segoe UI" w:hAnsi="Segoe UI" w:cs="Segoe UI"/>
      <w:noProof w:val="0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F5AD9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5AD9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AD9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F5AD9"/>
    <w:rPr>
      <w:rFonts w:ascii="Segoe UI" w:eastAsiaTheme="majorEastAsia" w:hAnsi="Segoe UI" w:cstheme="majorBidi"/>
      <w:iCs/>
      <w:noProof w:val="0"/>
      <w:color w:val="000000" w:themeColor="text1"/>
      <w:sz w:val="20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EF5AD9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D9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D9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D9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D9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unhideWhenUsed/>
    <w:locked/>
    <w:rsid w:val="00EF5AD9"/>
    <w:rPr>
      <w:noProof w:val="0"/>
    </w:rPr>
  </w:style>
  <w:style w:type="character" w:styleId="Hyperlink">
    <w:name w:val="Hyperlink"/>
    <w:basedOn w:val="DefaultParagraphFont"/>
    <w:uiPriority w:val="99"/>
    <w:unhideWhenUsed/>
    <w:rsid w:val="00EF5AD9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EF5AD9"/>
    <w:pPr>
      <w:numPr>
        <w:numId w:val="46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EF5AD9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EF5AD9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EF5AD9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EF5AD9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EF5AD9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EF5AD9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sz w:val="18"/>
    </w:rPr>
  </w:style>
  <w:style w:type="paragraph" w:customStyle="1" w:styleId="Glossary">
    <w:name w:val="Glossary"/>
    <w:basedOn w:val="Normal"/>
    <w:qFormat/>
    <w:rsid w:val="00EF5AD9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EF5AD9"/>
    <w:pPr>
      <w:numPr>
        <w:numId w:val="44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EF5AD9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styleId="Quote">
    <w:name w:val="Quote"/>
    <w:basedOn w:val="Normal"/>
    <w:next w:val="Normal"/>
    <w:link w:val="QuoteChar"/>
    <w:uiPriority w:val="29"/>
    <w:qFormat/>
    <w:rsid w:val="00EF5AD9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D9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TableHeader">
    <w:name w:val="Table Header"/>
    <w:basedOn w:val="TableData"/>
    <w:qFormat/>
    <w:rsid w:val="00EF5AD9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EF5AD9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EF5AD9"/>
    <w:pPr>
      <w:numPr>
        <w:numId w:val="34"/>
      </w:numPr>
      <w:ind w:left="1797" w:hanging="357"/>
    </w:pPr>
    <w:rPr>
      <w:sz w:val="22"/>
    </w:rPr>
  </w:style>
  <w:style w:type="paragraph" w:customStyle="1" w:styleId="TableData">
    <w:name w:val="Table Data"/>
    <w:link w:val="TableDataChar"/>
    <w:qFormat/>
    <w:rsid w:val="00EF5AD9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EF5AD9"/>
    <w:rPr>
      <w:rFonts w:ascii="Segoe UI" w:hAnsi="Segoe UI" w:cs="Segoe UI"/>
      <w:noProof w:val="0"/>
      <w:color w:val="000000" w:themeColor="text1"/>
      <w:sz w:val="20"/>
      <w:szCs w:val="18"/>
    </w:rPr>
  </w:style>
  <w:style w:type="character" w:customStyle="1" w:styleId="HeadlineChar">
    <w:name w:val="Headline Char"/>
    <w:basedOn w:val="DefaultParagraphFont"/>
    <w:link w:val="Headline"/>
    <w:rsid w:val="00EF5AD9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PublishDate">
    <w:name w:val="Publish Date"/>
    <w:next w:val="Normal"/>
    <w:link w:val="PublishDateChar"/>
    <w:qFormat/>
    <w:rsid w:val="00EF5AD9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paragraph" w:customStyle="1" w:styleId="Author">
    <w:name w:val="Author"/>
    <w:basedOn w:val="Bullet"/>
    <w:link w:val="AuthorChar"/>
    <w:qFormat/>
    <w:rsid w:val="00EF5AD9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EF5AD9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character" w:customStyle="1" w:styleId="AuthorChar">
    <w:name w:val="Author Char"/>
    <w:basedOn w:val="FooterChar"/>
    <w:link w:val="Author"/>
    <w:rsid w:val="00EF5AD9"/>
    <w:rPr>
      <w:rFonts w:ascii="Segoe UI" w:hAnsi="Segoe UI" w:cs="Segoe UI"/>
      <w:b/>
      <w:bCs/>
      <w:noProof w:val="0"/>
      <w:color w:val="7F7F7F" w:themeColor="text1" w:themeTint="80"/>
      <w:sz w:val="20"/>
      <w:shd w:val="clear" w:color="auto" w:fill="F2F2F2" w:themeFill="background1" w:themeFillShade="F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F5AD9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EF5AD9"/>
    <w:pPr>
      <w:numPr>
        <w:numId w:val="50"/>
      </w:numPr>
      <w:spacing w:after="200" w:line="240" w:lineRule="auto"/>
      <w:contextualSpacing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EF5AD9"/>
    <w:rPr>
      <w:rFonts w:ascii="Segoe UI" w:hAnsi="Segoe UI" w:cs="Segoe UI"/>
      <w:bCs/>
      <w:noProof w:val="0"/>
      <w:sz w:val="20"/>
      <w:szCs w:val="20"/>
    </w:rPr>
  </w:style>
  <w:style w:type="paragraph" w:customStyle="1" w:styleId="RepeatingFooter">
    <w:name w:val="Repeating Footer"/>
    <w:basedOn w:val="Footer"/>
    <w:link w:val="RepeatingFooterChar"/>
    <w:qFormat/>
    <w:rsid w:val="00EF5AD9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EF5AD9"/>
    <w:rPr>
      <w:rFonts w:ascii="Segoe UI" w:hAnsi="Segoe UI" w:cs="Segoe UI"/>
      <w:noProof w:val="0"/>
      <w:color w:val="003469"/>
      <w:sz w:val="20"/>
    </w:rPr>
  </w:style>
  <w:style w:type="character" w:customStyle="1" w:styleId="ProductDescriptionChar">
    <w:name w:val="Product Description Char"/>
    <w:basedOn w:val="DefaultParagraphFont"/>
    <w:link w:val="ProductDescription"/>
    <w:rsid w:val="00EF5AD9"/>
    <w:rPr>
      <w:rFonts w:ascii="Segoe UI" w:hAnsi="Segoe UI" w:cs="Segoe UI"/>
      <w:b/>
      <w:bCs/>
      <w:noProof w:val="0"/>
      <w:color w:val="FFFFFF"/>
      <w:sz w:val="32"/>
      <w:szCs w:val="32"/>
    </w:rPr>
  </w:style>
  <w:style w:type="character" w:customStyle="1" w:styleId="Bold">
    <w:name w:val="Bold"/>
    <w:basedOn w:val="DefaultParagraphFont"/>
    <w:uiPriority w:val="1"/>
    <w:qFormat/>
    <w:rsid w:val="00EF5AD9"/>
    <w:rPr>
      <w:b/>
      <w:bCs/>
      <w:noProof w:val="0"/>
    </w:rPr>
  </w:style>
  <w:style w:type="character" w:customStyle="1" w:styleId="Italics">
    <w:name w:val="Italics"/>
    <w:uiPriority w:val="1"/>
    <w:qFormat/>
    <w:rsid w:val="00EF5AD9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EF5AD9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a19A07E6dd7D4151932E2a/Toc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0261E-2B17-47D1-83C2-16E95663CB8A}"/>
      </w:docPartPr>
      <w:docPartBody>
        <w:p w:rsidR="005A2321" w:rsidRDefault="004D30FF">
          <w:r w:rsidRPr="00397F2C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FF"/>
    <w:rsid w:val="004D30FF"/>
    <w:rsid w:val="005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385</Words>
  <Characters>1877</Characters>
  <Application>Microsoft Office Word</Application>
  <DocSecurity>0</DocSecurity>
  <Lines>27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59</cp:revision>
  <dcterms:created xsi:type="dcterms:W3CDTF">2024-01-17T11:41:00Z</dcterms:created>
  <dcterms:modified xsi:type="dcterms:W3CDTF">2024-01-17T12:53:00Z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2024-01-17T12:50:09.000Z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v0.8.0.4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Team\New RPI\20240117 UK IF.xlsx</vt:lpwstr>
  </property>
  <property fmtid="{D5CDD505-2E9C-101B-9397-08002B2CF9AE}" pid="17" name="OEP_PRODUCT_CODE">
    <vt:lpwstr>661220fa773C4DD89787Fa</vt:lpwstr>
  </property>
  <property fmtid="{D5CDD505-2E9C-101B-9397-08002B2CF9AE}" pid="18" name="OEP_PUBLISH_DATE">
    <vt:lpwstr/>
  </property>
</Properties>
</file>