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2F390" w14:textId="38748668" w:rsidR="00794A67" w:rsidRDefault="00421803" w:rsidP="00794A67">
      <w:pPr>
        <w:pStyle w:val="Bullet"/>
      </w:pPr>
      <w:r>
        <w:t>There was a downside surprise for UK CPI inflation in January</w:t>
      </w:r>
      <w:r w:rsidR="00D01198">
        <w:t xml:space="preserve"> as </w:t>
      </w:r>
      <w:r w:rsidR="002F3A09">
        <w:t xml:space="preserve">a particularly large month-on-month fall in services prices mitigated </w:t>
      </w:r>
      <w:r w:rsidR="00D01198">
        <w:t>the impact of a rise in the energy price cap. We still expect inflation will fall sharply in the coming months</w:t>
      </w:r>
      <w:r w:rsidR="00514FC8">
        <w:t>,</w:t>
      </w:r>
      <w:r w:rsidR="00D01198">
        <w:t xml:space="preserve"> and we see the CPI measure averaging 2.1% in 2024. </w:t>
      </w:r>
    </w:p>
    <w:p w14:paraId="15FF3AC0" w14:textId="41675C42" w:rsidR="00794A67" w:rsidRDefault="00BE7989" w:rsidP="00794A67">
      <w:pPr>
        <w:pStyle w:val="Bullet"/>
      </w:pPr>
      <w:r>
        <w:t xml:space="preserve">But </w:t>
      </w:r>
      <w:r w:rsidR="002F3A09">
        <w:t xml:space="preserve">the annual update of the </w:t>
      </w:r>
      <w:r>
        <w:t>weight</w:t>
      </w:r>
      <w:r w:rsidR="002F3A09">
        <w:t>s</w:t>
      </w:r>
      <w:r>
        <w:t xml:space="preserve"> mean we now forecast inflation </w:t>
      </w:r>
      <w:r w:rsidR="00ED118F">
        <w:t>wi</w:t>
      </w:r>
      <w:r w:rsidR="00B90284">
        <w:t>ll</w:t>
      </w:r>
      <w:r w:rsidR="00ED118F">
        <w:t xml:space="preserve"> </w:t>
      </w:r>
      <w:r>
        <w:t xml:space="preserve">be slightly higher in </w:t>
      </w:r>
      <w:r w:rsidR="002F3A09">
        <w:t>2025-2026</w:t>
      </w:r>
      <w:r w:rsidR="00B7577A">
        <w:t>. The weights on sectors we expect to have smaller price rises have been cut</w:t>
      </w:r>
      <w:r>
        <w:t>.</w:t>
      </w:r>
    </w:p>
    <w:p w14:paraId="31B8C8DC" w14:textId="14163AD0" w:rsidR="00794A67" w:rsidRDefault="00D858B9" w:rsidP="00794A67">
      <w:r>
        <w:t xml:space="preserve">CPI inflation </w:t>
      </w:r>
      <w:r w:rsidR="002546BE">
        <w:t xml:space="preserve">held steady </w:t>
      </w:r>
      <w:r w:rsidR="002F3A09">
        <w:t>at 4%.</w:t>
      </w:r>
      <w:r w:rsidR="002546BE">
        <w:t>in January</w:t>
      </w:r>
      <w:r w:rsidR="002F3A09">
        <w:t xml:space="preserve"> </w:t>
      </w:r>
      <w:r w:rsidR="00B7577A">
        <w:t xml:space="preserve">We had expected a higher reading, largely because of the strength of base effects caused by </w:t>
      </w:r>
      <w:r w:rsidR="002546BE">
        <w:t xml:space="preserve">the large m/m drop in services prices in January 2023. But </w:t>
      </w:r>
      <w:r w:rsidR="00B7577A">
        <w:t xml:space="preserve">there was a </w:t>
      </w:r>
      <w:r w:rsidR="00104D82">
        <w:t>chunky</w:t>
      </w:r>
      <w:r w:rsidR="00B7577A">
        <w:t xml:space="preserve"> m/m fall in </w:t>
      </w:r>
      <w:r w:rsidR="002546BE">
        <w:t xml:space="preserve">services sector </w:t>
      </w:r>
      <w:r w:rsidR="00B7577A">
        <w:t xml:space="preserve">prices this </w:t>
      </w:r>
      <w:r w:rsidR="002546BE">
        <w:t>January too</w:t>
      </w:r>
      <w:r w:rsidR="00B7577A">
        <w:t>. This was partly due to the impact of the normal January fall in</w:t>
      </w:r>
      <w:r w:rsidR="00AC2FA3">
        <w:t xml:space="preserve"> air fares </w:t>
      </w:r>
      <w:r w:rsidR="00B7577A">
        <w:t xml:space="preserve">being </w:t>
      </w:r>
      <w:r w:rsidR="00AC2FA3">
        <w:t xml:space="preserve">amplified </w:t>
      </w:r>
      <w:r w:rsidR="00B7577A">
        <w:t xml:space="preserve">by </w:t>
      </w:r>
      <w:r w:rsidR="00AC2FA3">
        <w:t>the ONS more than doubl</w:t>
      </w:r>
      <w:r w:rsidR="00B7577A">
        <w:t>ing</w:t>
      </w:r>
      <w:r w:rsidR="00AC2FA3">
        <w:t xml:space="preserve"> the component's weight in the CPI basket. This contributed to a softer than expected reading for core inflation, which offset the impact of a 5% increase in the Ofgem energy price cap on headline </w:t>
      </w:r>
      <w:r w:rsidR="001E1E0F">
        <w:t>inflation</w:t>
      </w:r>
      <w:r w:rsidR="00AC2FA3">
        <w:t>.</w:t>
      </w:r>
      <w:r w:rsidR="001E1E0F">
        <w:t xml:space="preserve"> Elsewhere, RPI inflation fell to 4.9% in January from 5.2% in December, while RPIX decline</w:t>
      </w:r>
      <w:r w:rsidR="00B7577A">
        <w:t>d</w:t>
      </w:r>
      <w:r w:rsidR="001E1E0F">
        <w:t xml:space="preserve"> to 3.8% from 4%.</w:t>
      </w:r>
    </w:p>
    <w:p w14:paraId="728FA22B" w14:textId="51F61615" w:rsidR="00794A67" w:rsidRDefault="00F11C33" w:rsidP="00215561">
      <w:r>
        <w:t xml:space="preserve">We think CPI inflation will cool rapidly in the coming months. </w:t>
      </w:r>
      <w:r w:rsidR="00215561">
        <w:t>This is largely due to lower wholesale gas prices</w:t>
      </w:r>
      <w:r w:rsidR="00B7577A">
        <w:t>,</w:t>
      </w:r>
      <w:r w:rsidR="00215561">
        <w:t xml:space="preserve"> which </w:t>
      </w:r>
      <w:r w:rsidR="00B7577A">
        <w:t xml:space="preserve">should mean </w:t>
      </w:r>
      <w:r w:rsidR="00215561">
        <w:t>the Ofgem energy price cap fall</w:t>
      </w:r>
      <w:r w:rsidR="00B7577A">
        <w:t>s</w:t>
      </w:r>
      <w:r w:rsidR="00215561">
        <w:t xml:space="preserve"> by around 14% in April. But </w:t>
      </w:r>
      <w:r w:rsidR="00B7577A">
        <w:t>downward pressures</w:t>
      </w:r>
      <w:r w:rsidR="00215561">
        <w:t xml:space="preserve"> will come from elsewhere too</w:t>
      </w:r>
      <w:r w:rsidR="00B7577A">
        <w:t>. The indirect effects of lower energy prices should continue to cool core goods and services inflation, while b</w:t>
      </w:r>
      <w:r w:rsidR="00215561">
        <w:t>ase</w:t>
      </w:r>
      <w:r w:rsidR="00423D44">
        <w:t xml:space="preserve"> effects are likely to help </w:t>
      </w:r>
      <w:r w:rsidR="00215561">
        <w:t>food price inflation ease</w:t>
      </w:r>
      <w:r w:rsidR="00423D44">
        <w:t xml:space="preserve"> further.</w:t>
      </w:r>
    </w:p>
    <w:p w14:paraId="30F3EBDE" w14:textId="45F39331" w:rsidR="00FC76BF" w:rsidRDefault="001D42D8" w:rsidP="00FC76BF">
      <w:r>
        <w:t xml:space="preserve">We </w:t>
      </w:r>
      <w:r w:rsidR="001A0688">
        <w:t>still expect CPI inflation to average 2.1% this year</w:t>
      </w:r>
      <w:r w:rsidR="006713B4">
        <w:t>.</w:t>
      </w:r>
      <w:r w:rsidR="001A0688">
        <w:t xml:space="preserve"> </w:t>
      </w:r>
      <w:r w:rsidR="006713B4">
        <w:t>B</w:t>
      </w:r>
      <w:r w:rsidR="001A0688">
        <w:t xml:space="preserve">ut </w:t>
      </w:r>
      <w:r w:rsidR="00B7577A">
        <w:t>further out, our inflation forecast is higher than before. This is partly due to base effects caused by this year's larger fall in energy prices. But it also reflects the impact of the annual reweighting of the inflation basket. T</w:t>
      </w:r>
      <w:r w:rsidR="006713B4">
        <w:t>he ONS has lowered the weight</w:t>
      </w:r>
      <w:r w:rsidR="00B7577A">
        <w:t>s</w:t>
      </w:r>
      <w:r w:rsidR="006713B4">
        <w:t xml:space="preserve"> on some of the components </w:t>
      </w:r>
      <w:r w:rsidR="00B7577A">
        <w:t xml:space="preserve">we expect to </w:t>
      </w:r>
      <w:r w:rsidR="006713B4">
        <w:t>weigh</w:t>
      </w:r>
      <w:r w:rsidR="00B7577A">
        <w:t xml:space="preserve"> </w:t>
      </w:r>
      <w:r w:rsidR="006713B4">
        <w:t>on headline inflation</w:t>
      </w:r>
      <w:r w:rsidR="00B7577A">
        <w:t xml:space="preserve"> in 2025-2026</w:t>
      </w:r>
      <w:r w:rsidR="006713B4">
        <w:t xml:space="preserve">, such as food and energy. Meanwhile, a higher weight has been assigned to services prices, which boost headline inflation. So incorporating the month's weight changes into our forecast means we now see </w:t>
      </w:r>
      <w:r w:rsidR="00215561">
        <w:t xml:space="preserve">CPI inflation slightly above the </w:t>
      </w:r>
      <w:r w:rsidR="006713B4">
        <w:t>Ban</w:t>
      </w:r>
      <w:r w:rsidR="001A0688">
        <w:t xml:space="preserve">k of England's 2% target in </w:t>
      </w:r>
      <w:r w:rsidR="00B7577A">
        <w:t>2025-2026</w:t>
      </w:r>
      <w:r w:rsidR="00DE521F">
        <w:t>.</w:t>
      </w:r>
    </w:p>
    <w:p w14:paraId="57770D47" w14:textId="74C3F777" w:rsidR="00794A67" w:rsidRDefault="00794A67" w:rsidP="00FC76BF">
      <w:pPr>
        <w:pStyle w:val="ExhibitTitle"/>
        <w:jc w:val="center"/>
      </w:pPr>
      <w:r>
        <w:t xml:space="preserve">Chart </w:t>
      </w:r>
      <w:r>
        <w:fldChar w:fldCharType="begin"/>
      </w:r>
      <w:r w:rsidR="00FC76BF">
        <w:instrText>SEQ CHART</w:instrText>
      </w:r>
      <w:r>
        <w:fldChar w:fldCharType="separate"/>
      </w:r>
      <w:r w:rsidR="00FC76BF">
        <w:rPr>
          <w:noProof/>
        </w:rPr>
        <w:t>1</w:t>
      </w:r>
      <w:r>
        <w:fldChar w:fldCharType="end"/>
      </w:r>
      <w:r>
        <w:t xml:space="preserve">: </w:t>
      </w:r>
      <w:r w:rsidR="00E760B1">
        <w:t>We still forecast CPI inflation to average 2.1% this year</w:t>
      </w:r>
    </w:p>
    <w:p w14:paraId="1CD4F60D" w14:textId="06676177" w:rsidR="00FC76BF" w:rsidRDefault="00FC76BF" w:rsidP="00FC76BF">
      <w:pPr>
        <w:spacing w:after="0"/>
        <w:jc w:val="center"/>
        <w:rPr>
          <w:noProof/>
        </w:rPr>
      </w:pPr>
      <w:r>
        <w:rPr>
          <w:noProof/>
        </w:rPr>
        <w:drawing>
          <wp:inline distT="0" distB="0" distL="0" distR="0" wp14:anchorId="4712CB7A" wp14:editId="07410642">
            <wp:extent cx="4006964" cy="3132464"/>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b="2283"/>
                    <a:stretch>
                      <a:fillRect/>
                    </a:stretch>
                  </pic:blipFill>
                  <pic:spPr>
                    <a:xfrm>
                      <a:off x="0" y="0"/>
                      <a:ext cx="4006964" cy="3132464"/>
                    </a:xfrm>
                    <a:prstGeom prst="rect">
                      <a:avLst/>
                    </a:prstGeom>
                  </pic:spPr>
                </pic:pic>
              </a:graphicData>
            </a:graphic>
          </wp:inline>
        </w:drawing>
      </w:r>
    </w:p>
    <w:p w14:paraId="3D1B9BDF" w14:textId="5AA64995" w:rsidR="00A837F4" w:rsidRPr="00A837F4" w:rsidRDefault="00FC76BF" w:rsidP="00504C11">
      <w:pPr>
        <w:pStyle w:val="ExhibitSource"/>
        <w:jc w:val="center"/>
      </w:pPr>
      <w:r>
        <w:t>Source: Oxford Economics, Haver Analytics</w:t>
      </w:r>
    </w:p>
    <w:sectPr w:rsidR="00A837F4" w:rsidRPr="00A837F4" w:rsidSect="00FC76BF">
      <w:headerReference w:type="even" r:id="rId9"/>
      <w:headerReference w:type="default" r:id="rId10"/>
      <w:headerReference w:type="first" r:id="rId11"/>
      <w:footerReference w:type="first" r:id="rId12"/>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0A1CE" w14:textId="77777777" w:rsidR="00AB0692" w:rsidRDefault="00AB0692" w:rsidP="00794A67">
      <w:pPr>
        <w:spacing w:before="0" w:after="0"/>
      </w:pPr>
      <w:r>
        <w:separator/>
      </w:r>
    </w:p>
  </w:endnote>
  <w:endnote w:type="continuationSeparator" w:id="0">
    <w:p w14:paraId="72ECCEE4" w14:textId="77777777" w:rsidR="00AB0692" w:rsidRDefault="00AB0692" w:rsidP="00794A6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70E8" w14:textId="2CC02D30" w:rsidR="00794A67" w:rsidRDefault="00794A67" w:rsidP="00794A67">
    <w:pPr>
      <w:pStyle w:val="Author"/>
    </w:pPr>
    <w:r>
      <w:t>Edward Allenby</w:t>
    </w:r>
    <w:r w:rsidR="00AC7679">
      <w:t xml:space="preserve"> - </w:t>
    </w:r>
    <w:r>
      <w:t>UK Economist</w:t>
    </w:r>
    <w:r w:rsidR="00AC7679">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495A1" w14:textId="77777777" w:rsidR="00AB0692" w:rsidRDefault="00AB0692" w:rsidP="00794A67">
      <w:pPr>
        <w:spacing w:before="0" w:after="0"/>
      </w:pPr>
      <w:r>
        <w:separator/>
      </w:r>
    </w:p>
  </w:footnote>
  <w:footnote w:type="continuationSeparator" w:id="0">
    <w:p w14:paraId="5BCBB8BD" w14:textId="77777777" w:rsidR="00AB0692" w:rsidRDefault="00AB0692" w:rsidP="00794A6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BAB9" w14:textId="77777777" w:rsidR="00794A67" w:rsidRDefault="00794A6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B5D4" w14:textId="77777777" w:rsidR="00794A67" w:rsidRDefault="00794A67">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C751" w14:textId="55F9EE88" w:rsidR="00794A67" w:rsidRDefault="00794A67" w:rsidP="00794A67">
    <w:r w:rsidRPr="00794A67">
      <w:rPr>
        <w:noProof/>
      </w:rPr>
      <w:drawing>
        <wp:anchor distT="0" distB="0" distL="114300" distR="114300" simplePos="0" relativeHeight="251659264" behindDoc="1" locked="1" layoutInCell="1" allowOverlap="1" wp14:anchorId="7040B2E4" wp14:editId="0ADF9B0E">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004779894"/>
      <w:lock w:val="sdtLocked"/>
      <w:placeholder>
        <w:docPart w:val="DefaultPlaceholder_-1854013437"/>
      </w:placeholder>
      <w:date w:fullDate="2024-02-14T00:00:00Z">
        <w:dateFormat w:val="d MMMM yyyy"/>
        <w:lid w:val="en-GB"/>
        <w:storeMappedDataAs w:val="dateTime"/>
        <w:calendar w:val="gregorian"/>
      </w:date>
    </w:sdtPr>
    <w:sdtEndPr/>
    <w:sdtContent>
      <w:p w14:paraId="661D913B" w14:textId="2B72E2BB" w:rsidR="00794A67" w:rsidRDefault="00794A67" w:rsidP="00794A67">
        <w:pPr>
          <w:pStyle w:val="PublishDate"/>
          <w:framePr w:w="2835" w:h="340" w:hRule="exact" w:hSpace="180" w:wrap="around" w:vAnchor="page" w:hAnchor="page" w:x="7801" w:y="601" w:anchorLock="1"/>
        </w:pPr>
        <w:r>
          <w:t>14 February 2024</w:t>
        </w:r>
      </w:p>
    </w:sdtContent>
  </w:sdt>
  <w:p w14:paraId="149714C6" w14:textId="01F3A8E4" w:rsidR="00794A67" w:rsidRDefault="00794A67" w:rsidP="00794A67">
    <w:pPr>
      <w:pStyle w:val="ProductDescription"/>
      <w:framePr w:w="11339" w:h="1474" w:hRule="exact" w:hSpace="180" w:wrap="around" w:vAnchor="page" w:hAnchor="page" w:x="401" w:y="1141" w:anchorLock="1"/>
      <w:spacing w:after="200"/>
    </w:pPr>
    <w:r>
      <w:t>Monthly inflation forecast | UK</w:t>
    </w:r>
  </w:p>
  <w:p w14:paraId="5F875B4B" w14:textId="3C3728F5" w:rsidR="00794A67" w:rsidRDefault="009E4B91" w:rsidP="00794A67">
    <w:pPr>
      <w:pStyle w:val="Headline"/>
      <w:framePr w:w="11339" w:h="1474" w:hRule="exact" w:hSpace="180" w:wrap="around" w:vAnchor="page" w:hAnchor="page" w:x="401" w:y="1141" w:anchorLock="1"/>
      <w:spacing w:line="200" w:lineRule="auto"/>
    </w:pPr>
    <w:r>
      <w:t>CPI inflation forecast to average 2.1% in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068761">
    <w:abstractNumId w:val="34"/>
  </w:num>
  <w:num w:numId="2" w16cid:durableId="1714038539">
    <w:abstractNumId w:val="24"/>
  </w:num>
  <w:num w:numId="3" w16cid:durableId="170947690">
    <w:abstractNumId w:val="26"/>
  </w:num>
  <w:num w:numId="4" w16cid:durableId="1731878447">
    <w:abstractNumId w:val="19"/>
  </w:num>
  <w:num w:numId="5" w16cid:durableId="242489836">
    <w:abstractNumId w:val="21"/>
  </w:num>
  <w:num w:numId="6" w16cid:durableId="897015510">
    <w:abstractNumId w:val="28"/>
  </w:num>
  <w:num w:numId="7" w16cid:durableId="1889535716">
    <w:abstractNumId w:val="42"/>
  </w:num>
  <w:num w:numId="8" w16cid:durableId="346906076">
    <w:abstractNumId w:val="15"/>
  </w:num>
  <w:num w:numId="9" w16cid:durableId="423960133">
    <w:abstractNumId w:val="43"/>
  </w:num>
  <w:num w:numId="10" w16cid:durableId="1640987901">
    <w:abstractNumId w:val="12"/>
  </w:num>
  <w:num w:numId="11" w16cid:durableId="1404569011">
    <w:abstractNumId w:val="29"/>
  </w:num>
  <w:num w:numId="12" w16cid:durableId="1481339531">
    <w:abstractNumId w:val="39"/>
  </w:num>
  <w:num w:numId="13" w16cid:durableId="254091076">
    <w:abstractNumId w:val="17"/>
  </w:num>
  <w:num w:numId="14" w16cid:durableId="470440354">
    <w:abstractNumId w:val="46"/>
  </w:num>
  <w:num w:numId="15" w16cid:durableId="1419978739">
    <w:abstractNumId w:val="35"/>
  </w:num>
  <w:num w:numId="16" w16cid:durableId="1432429729">
    <w:abstractNumId w:val="32"/>
  </w:num>
  <w:num w:numId="17" w16cid:durableId="1824929839">
    <w:abstractNumId w:val="18"/>
  </w:num>
  <w:num w:numId="18" w16cid:durableId="769858393">
    <w:abstractNumId w:val="16"/>
  </w:num>
  <w:num w:numId="19" w16cid:durableId="1273824565">
    <w:abstractNumId w:val="47"/>
  </w:num>
  <w:num w:numId="20" w16cid:durableId="1751581402">
    <w:abstractNumId w:val="48"/>
  </w:num>
  <w:num w:numId="21" w16cid:durableId="250822089">
    <w:abstractNumId w:val="9"/>
  </w:num>
  <w:num w:numId="22" w16cid:durableId="2090807657">
    <w:abstractNumId w:val="7"/>
  </w:num>
  <w:num w:numId="23" w16cid:durableId="1280380202">
    <w:abstractNumId w:val="6"/>
  </w:num>
  <w:num w:numId="24" w16cid:durableId="1094403831">
    <w:abstractNumId w:val="5"/>
  </w:num>
  <w:num w:numId="25" w16cid:durableId="583419114">
    <w:abstractNumId w:val="4"/>
  </w:num>
  <w:num w:numId="26" w16cid:durableId="360211431">
    <w:abstractNumId w:val="8"/>
  </w:num>
  <w:num w:numId="27" w16cid:durableId="1826434500">
    <w:abstractNumId w:val="3"/>
  </w:num>
  <w:num w:numId="28" w16cid:durableId="1900629655">
    <w:abstractNumId w:val="2"/>
  </w:num>
  <w:num w:numId="29" w16cid:durableId="770473825">
    <w:abstractNumId w:val="1"/>
  </w:num>
  <w:num w:numId="30" w16cid:durableId="1983079168">
    <w:abstractNumId w:val="0"/>
  </w:num>
  <w:num w:numId="31" w16cid:durableId="1114979355">
    <w:abstractNumId w:val="40"/>
  </w:num>
  <w:num w:numId="32" w16cid:durableId="393702189">
    <w:abstractNumId w:val="45"/>
  </w:num>
  <w:num w:numId="33" w16cid:durableId="1509785433">
    <w:abstractNumId w:val="20"/>
  </w:num>
  <w:num w:numId="34" w16cid:durableId="1530755899">
    <w:abstractNumId w:val="23"/>
  </w:num>
  <w:num w:numId="35" w16cid:durableId="1612787247">
    <w:abstractNumId w:val="14"/>
  </w:num>
  <w:num w:numId="36" w16cid:durableId="1880556056">
    <w:abstractNumId w:val="31"/>
  </w:num>
  <w:num w:numId="37" w16cid:durableId="1896551330">
    <w:abstractNumId w:val="13"/>
  </w:num>
  <w:num w:numId="38" w16cid:durableId="1768773674">
    <w:abstractNumId w:val="30"/>
  </w:num>
  <w:num w:numId="39" w16cid:durableId="67502198">
    <w:abstractNumId w:val="27"/>
  </w:num>
  <w:num w:numId="40" w16cid:durableId="1480031112">
    <w:abstractNumId w:val="38"/>
  </w:num>
  <w:num w:numId="41" w16cid:durableId="1409842489">
    <w:abstractNumId w:val="22"/>
  </w:num>
  <w:num w:numId="42" w16cid:durableId="1456410133">
    <w:abstractNumId w:val="33"/>
  </w:num>
  <w:num w:numId="43" w16cid:durableId="16467830">
    <w:abstractNumId w:val="36"/>
  </w:num>
  <w:num w:numId="44" w16cid:durableId="1155025745">
    <w:abstractNumId w:val="11"/>
  </w:num>
  <w:num w:numId="45" w16cid:durableId="2074311132">
    <w:abstractNumId w:val="11"/>
    <w:lvlOverride w:ilvl="0">
      <w:startOverride w:val="1"/>
    </w:lvlOverride>
  </w:num>
  <w:num w:numId="46" w16cid:durableId="1937204489">
    <w:abstractNumId w:val="44"/>
  </w:num>
  <w:num w:numId="47" w16cid:durableId="1543858960">
    <w:abstractNumId w:val="41"/>
  </w:num>
  <w:num w:numId="48" w16cid:durableId="343746016">
    <w:abstractNumId w:val="37"/>
  </w:num>
  <w:num w:numId="49" w16cid:durableId="970358182">
    <w:abstractNumId w:val="25"/>
  </w:num>
  <w:num w:numId="50" w16cid:durableId="546986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67"/>
    <w:rsid w:val="0007422A"/>
    <w:rsid w:val="00104D82"/>
    <w:rsid w:val="001A0688"/>
    <w:rsid w:val="001D42D8"/>
    <w:rsid w:val="001E1E0F"/>
    <w:rsid w:val="00215561"/>
    <w:rsid w:val="00235C14"/>
    <w:rsid w:val="002546BE"/>
    <w:rsid w:val="0026110D"/>
    <w:rsid w:val="002A7FE4"/>
    <w:rsid w:val="002E6BE5"/>
    <w:rsid w:val="002F3A09"/>
    <w:rsid w:val="00421803"/>
    <w:rsid w:val="00423D44"/>
    <w:rsid w:val="004958E6"/>
    <w:rsid w:val="00504C11"/>
    <w:rsid w:val="00514FC8"/>
    <w:rsid w:val="00560ACE"/>
    <w:rsid w:val="00644F38"/>
    <w:rsid w:val="006713B4"/>
    <w:rsid w:val="00673B00"/>
    <w:rsid w:val="006857EA"/>
    <w:rsid w:val="006D30E9"/>
    <w:rsid w:val="00794A67"/>
    <w:rsid w:val="0094131B"/>
    <w:rsid w:val="009E4B91"/>
    <w:rsid w:val="00A837F4"/>
    <w:rsid w:val="00A928F8"/>
    <w:rsid w:val="00AB0692"/>
    <w:rsid w:val="00AC2FA3"/>
    <w:rsid w:val="00AC7679"/>
    <w:rsid w:val="00B7577A"/>
    <w:rsid w:val="00B90284"/>
    <w:rsid w:val="00BE7989"/>
    <w:rsid w:val="00D01198"/>
    <w:rsid w:val="00D858B9"/>
    <w:rsid w:val="00DE521F"/>
    <w:rsid w:val="00E760B1"/>
    <w:rsid w:val="00ED118F"/>
    <w:rsid w:val="00F11C33"/>
    <w:rsid w:val="00FC76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30DB2"/>
  <w15:chartTrackingRefBased/>
  <w15:docId w15:val="{1AD65E31-A9A1-4DBF-8F43-450EFA94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A6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94A6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94A67"/>
    <w:pPr>
      <w:outlineLvl w:val="1"/>
    </w:pPr>
    <w:rPr>
      <w:sz w:val="28"/>
    </w:rPr>
  </w:style>
  <w:style w:type="paragraph" w:styleId="Heading3">
    <w:name w:val="heading 3"/>
    <w:basedOn w:val="Normal"/>
    <w:next w:val="Normal"/>
    <w:link w:val="Heading3Char"/>
    <w:uiPriority w:val="9"/>
    <w:unhideWhenUsed/>
    <w:qFormat/>
    <w:rsid w:val="00794A6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94A6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94A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794A6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794A6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794A6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94A6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794A67"/>
    <w:pPr>
      <w:tabs>
        <w:tab w:val="center" w:pos="4320"/>
        <w:tab w:val="right" w:pos="8640"/>
      </w:tabs>
    </w:pPr>
  </w:style>
  <w:style w:type="character" w:customStyle="1" w:styleId="HeaderChar">
    <w:name w:val="Header Char"/>
    <w:basedOn w:val="DefaultParagraphFont"/>
    <w:link w:val="Header"/>
    <w:uiPriority w:val="99"/>
    <w:rsid w:val="00794A6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94A67"/>
    <w:pPr>
      <w:tabs>
        <w:tab w:val="center" w:pos="4320"/>
        <w:tab w:val="right" w:pos="8640"/>
      </w:tabs>
    </w:pPr>
  </w:style>
  <w:style w:type="character" w:customStyle="1" w:styleId="FooterChar">
    <w:name w:val="Footer Char"/>
    <w:basedOn w:val="DefaultParagraphFont"/>
    <w:link w:val="Footer"/>
    <w:uiPriority w:val="99"/>
    <w:rsid w:val="00794A67"/>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794A6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94A6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94A6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94A6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94A67"/>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794A67"/>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794A67"/>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794A6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94A67"/>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794A67"/>
    <w:rPr>
      <w:noProof w:val="0"/>
    </w:rPr>
  </w:style>
  <w:style w:type="character" w:styleId="Hyperlink">
    <w:name w:val="Hyperlink"/>
    <w:basedOn w:val="DefaultParagraphFont"/>
    <w:uiPriority w:val="99"/>
    <w:unhideWhenUsed/>
    <w:rsid w:val="00794A67"/>
    <w:rPr>
      <w:noProof w:val="0"/>
      <w:color w:val="0563C1" w:themeColor="hyperlink"/>
      <w:u w:val="single"/>
    </w:rPr>
  </w:style>
  <w:style w:type="paragraph" w:styleId="ListParagraph">
    <w:name w:val="List Paragraph"/>
    <w:next w:val="Normal"/>
    <w:link w:val="ListParagraphChar"/>
    <w:uiPriority w:val="34"/>
    <w:locked/>
    <w:rsid w:val="00794A67"/>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794A6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94A67"/>
    <w:pPr>
      <w:spacing w:after="120"/>
    </w:pPr>
    <w:rPr>
      <w:b/>
      <w:bCs/>
      <w:color w:val="FFFFFF"/>
      <w:sz w:val="32"/>
      <w:szCs w:val="32"/>
    </w:rPr>
  </w:style>
  <w:style w:type="paragraph" w:customStyle="1" w:styleId="Headline">
    <w:name w:val="Headline"/>
    <w:basedOn w:val="Normal"/>
    <w:next w:val="Normal"/>
    <w:link w:val="HeadlineChar"/>
    <w:qFormat/>
    <w:rsid w:val="00794A67"/>
    <w:rPr>
      <w:rFonts w:ascii="Segoe UI Semilight" w:hAnsi="Segoe UI Semilight" w:cs="Segoe UI Semilight"/>
      <w:b/>
      <w:bCs/>
      <w:color w:val="FFFFFF"/>
      <w:sz w:val="40"/>
      <w:szCs w:val="40"/>
    </w:rPr>
  </w:style>
  <w:style w:type="paragraph" w:customStyle="1" w:styleId="ExhibitTitle">
    <w:name w:val="Exhibit Title"/>
    <w:basedOn w:val="Normal"/>
    <w:qFormat/>
    <w:rsid w:val="00794A6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94A67"/>
    <w:pPr>
      <w:shd w:val="clear" w:color="auto" w:fill="D6E2FA"/>
      <w:spacing w:after="0"/>
    </w:pPr>
    <w:rPr>
      <w:color w:val="595959" w:themeColor="text1" w:themeTint="A6"/>
      <w:sz w:val="18"/>
    </w:rPr>
  </w:style>
  <w:style w:type="paragraph" w:customStyle="1" w:styleId="ExhibitSource">
    <w:name w:val="Exhibit Source"/>
    <w:next w:val="Normal"/>
    <w:qFormat/>
    <w:rsid w:val="00794A6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794A67"/>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794A67"/>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94A67"/>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794A6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94A67"/>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794A6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94A67"/>
    <w:rPr>
      <w:rFonts w:ascii="Segoe UI" w:hAnsi="Segoe UI" w:cs="Segoe UI"/>
      <w:noProof w:val="0"/>
      <w:color w:val="000000" w:themeColor="text1"/>
    </w:rPr>
  </w:style>
  <w:style w:type="paragraph" w:customStyle="1" w:styleId="Summary">
    <w:name w:val="Summary"/>
    <w:basedOn w:val="Normal"/>
    <w:link w:val="SummaryChar"/>
    <w:qFormat/>
    <w:rsid w:val="00794A67"/>
    <w:pPr>
      <w:numPr>
        <w:numId w:val="34"/>
      </w:numPr>
      <w:ind w:left="1797" w:hanging="357"/>
    </w:pPr>
    <w:rPr>
      <w:kern w:val="2"/>
      <w:sz w:val="22"/>
      <w14:ligatures w14:val="standardContextual"/>
    </w:rPr>
  </w:style>
  <w:style w:type="paragraph" w:customStyle="1" w:styleId="TableData">
    <w:name w:val="Table Data"/>
    <w:link w:val="TableDataChar"/>
    <w:qFormat/>
    <w:rsid w:val="00794A6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94A67"/>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94A6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794A67"/>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794A67"/>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794A67"/>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794A6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94A6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94A67"/>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94A67"/>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94A67"/>
    <w:rPr>
      <w:color w:val="003469"/>
    </w:rPr>
  </w:style>
  <w:style w:type="character" w:customStyle="1" w:styleId="RepeatingFooterChar">
    <w:name w:val="Repeating Footer Char"/>
    <w:basedOn w:val="FooterChar"/>
    <w:link w:val="RepeatingFooter"/>
    <w:rsid w:val="00794A6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94A6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94A67"/>
    <w:rPr>
      <w:b/>
      <w:bCs/>
      <w:noProof w:val="0"/>
    </w:rPr>
  </w:style>
  <w:style w:type="character" w:customStyle="1" w:styleId="Italics">
    <w:name w:val="Italics"/>
    <w:uiPriority w:val="1"/>
    <w:qFormat/>
    <w:rsid w:val="00794A67"/>
    <w:rPr>
      <w:i/>
      <w:iCs/>
      <w:noProof w:val="0"/>
    </w:rPr>
  </w:style>
  <w:style w:type="table" w:customStyle="1" w:styleId="TableGridHeader">
    <w:name w:val="Table Grid Header"/>
    <w:basedOn w:val="TableNormal"/>
    <w:uiPriority w:val="99"/>
    <w:rsid w:val="00794A6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B616092-7FCD-4D9E-B621-61FFB1E918E2}"/>
      </w:docPartPr>
      <w:docPartBody>
        <w:p w:rsidR="00A27BB6" w:rsidRDefault="00A27BB6">
          <w:r w:rsidRPr="00E615D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B6"/>
    <w:rsid w:val="00451083"/>
    <w:rsid w:val="00A27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411</Words>
  <Characters>1992</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14</cp:revision>
  <dcterms:created xsi:type="dcterms:W3CDTF">2024-02-14T12:56:00Z</dcterms:created>
  <dcterms:modified xsi:type="dcterms:W3CDTF">2024-02-14T13:11:00Z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2024-02-14T13:07:49.000Z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v0.8.0.4</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Themes:forecast,inflation</vt:lpwstr>
  </property>
  <property fmtid="{D5CDD505-2E9C-101B-9397-08002B2CF9AE}" pid="16" name="OEP_DATA_FILEPATH">
    <vt:lpwstr>Z:\UK Team\Inflation Model\20240214 UK IF.xlsx</vt:lpwstr>
  </property>
  <property fmtid="{D5CDD505-2E9C-101B-9397-08002B2CF9AE}" pid="17" name="OEP_PRODUCT_CODE">
    <vt:lpwstr>0c3C4195e135469c9a2447</vt:lpwstr>
  </property>
  <property fmtid="{D5CDD505-2E9C-101B-9397-08002B2CF9AE}" pid="18" name="OEP_PUBLISH_DATE">
    <vt:lpwstr/>
  </property>
</Properties>
</file>