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6793A" w14:textId="76D4CC10" w:rsidR="00F02EA0" w:rsidRDefault="00F15E3A" w:rsidP="00F02EA0">
      <w:pPr>
        <w:pStyle w:val="Bullet"/>
      </w:pPr>
      <w:r>
        <w:t xml:space="preserve">There was a </w:t>
      </w:r>
      <w:r w:rsidR="003F47E9">
        <w:t xml:space="preserve">modest </w:t>
      </w:r>
      <w:r>
        <w:t>upside surprise for UK CPI inflation in March, following smaller-than-expected declines in food and services prices.</w:t>
      </w:r>
      <w:r w:rsidR="007770FB">
        <w:t xml:space="preserve"> </w:t>
      </w:r>
      <w:r w:rsidR="003F47E9">
        <w:t>But we still expect</w:t>
      </w:r>
      <w:r w:rsidR="007770FB">
        <w:t xml:space="preserve"> inflation to fall rapidly in </w:t>
      </w:r>
      <w:r w:rsidR="00F06858">
        <w:t xml:space="preserve">April due to </w:t>
      </w:r>
      <w:r w:rsidR="00D24223">
        <w:t>the 12% cut in</w:t>
      </w:r>
      <w:r w:rsidR="00DA090B">
        <w:t xml:space="preserve"> </w:t>
      </w:r>
      <w:r w:rsidR="00D24223">
        <w:t>the</w:t>
      </w:r>
      <w:r w:rsidR="007770FB">
        <w:t xml:space="preserve"> energy price cap </w:t>
      </w:r>
      <w:r w:rsidR="00D24223">
        <w:t xml:space="preserve">and </w:t>
      </w:r>
      <w:r w:rsidR="00661B8E">
        <w:t xml:space="preserve">our expectation that </w:t>
      </w:r>
      <w:r w:rsidR="00B25B7B">
        <w:t xml:space="preserve">once-a year </w:t>
      </w:r>
      <w:r w:rsidR="00D24223">
        <w:t xml:space="preserve">rises in </w:t>
      </w:r>
      <w:r w:rsidR="00442822">
        <w:t>inflation-linked contracts</w:t>
      </w:r>
      <w:r w:rsidR="00DA090B">
        <w:t xml:space="preserve"> and regulated prices</w:t>
      </w:r>
      <w:r w:rsidR="00661B8E">
        <w:t xml:space="preserve"> will be much smaller than last year</w:t>
      </w:r>
      <w:r w:rsidR="007770FB">
        <w:t>.</w:t>
      </w:r>
    </w:p>
    <w:p w14:paraId="3C933AF4" w14:textId="3307C9DA" w:rsidR="00584D2B" w:rsidRDefault="007770FB" w:rsidP="00584D2B">
      <w:pPr>
        <w:pStyle w:val="Bullet"/>
      </w:pPr>
      <w:r>
        <w:t>But the recent uptick in oil and gas futures prices mean we now think these categories will weigh slightly less heavily on headline inflation this year. So we now forecast CPI inflation will average 2.3% in 2024</w:t>
      </w:r>
      <w:r w:rsidR="00B25B7B">
        <w:t>, up from 2.1% last month</w:t>
      </w:r>
      <w:r>
        <w:t>.</w:t>
      </w:r>
    </w:p>
    <w:p w14:paraId="34C8F3EC" w14:textId="48269289" w:rsidR="00F02EA0" w:rsidRDefault="002F11E3" w:rsidP="00584D2B">
      <w:r>
        <w:t xml:space="preserve">CPI inflation </w:t>
      </w:r>
      <w:r w:rsidR="00F0668C">
        <w:t>fell</w:t>
      </w:r>
      <w:r>
        <w:t xml:space="preserve"> to 3.2% </w:t>
      </w:r>
      <w:r w:rsidR="00F0668C">
        <w:t xml:space="preserve">in March </w:t>
      </w:r>
      <w:r>
        <w:t>from 3.4% in February.</w:t>
      </w:r>
      <w:r w:rsidR="0049346E">
        <w:t xml:space="preserve"> March's decline was due to base effects in the food and core categories, after unusually large rises in </w:t>
      </w:r>
      <w:r w:rsidR="0049346E" w:rsidRPr="0049346E">
        <w:t>these components between February and March last year.</w:t>
      </w:r>
      <w:r w:rsidR="0049346E">
        <w:t xml:space="preserve"> </w:t>
      </w:r>
      <w:r w:rsidR="0049346E" w:rsidRPr="0049346E">
        <w:t>This downward pressure was only partly offset by higher petrol prices.</w:t>
      </w:r>
      <w:r w:rsidR="0049346E">
        <w:t xml:space="preserve"> </w:t>
      </w:r>
      <w:r w:rsidR="000D051A">
        <w:t>Inflation was slightly higher than we had expected in March due to s</w:t>
      </w:r>
      <w:r w:rsidR="00F27358">
        <w:t>ticky services inflation</w:t>
      </w:r>
      <w:r w:rsidR="008E2F09">
        <w:t>; t</w:t>
      </w:r>
      <w:r w:rsidR="000D051A">
        <w:t>he early Easter may have had a part to play in this</w:t>
      </w:r>
      <w:r w:rsidR="008E2F09">
        <w:t>.</w:t>
      </w:r>
      <w:r w:rsidR="00EE62C3">
        <w:t xml:space="preserve"> </w:t>
      </w:r>
      <w:r w:rsidR="0049346E">
        <w:t>RPI and RPIX inflation both edged down by 0.2ppts to 4.3% and 3.3% respectively.</w:t>
      </w:r>
    </w:p>
    <w:p w14:paraId="1CBDE167" w14:textId="38B518B4" w:rsidR="00496636" w:rsidRDefault="00757886" w:rsidP="00496636">
      <w:r>
        <w:t xml:space="preserve">The downward pressure on inflation is set to continue in the coming months. </w:t>
      </w:r>
      <w:r w:rsidR="000E28CE">
        <w:t xml:space="preserve">April's 12% drop in Ofgem's energy price cap will </w:t>
      </w:r>
      <w:r w:rsidR="00644F8A">
        <w:t xml:space="preserve">increase </w:t>
      </w:r>
      <w:r w:rsidR="000E28CE">
        <w:t xml:space="preserve">the drag from the energy category. In the same month, the annual uprating in many inflation-linked contracts or regulated prices should be smaller than last year, which </w:t>
      </w:r>
      <w:r w:rsidR="00053094">
        <w:t>will</w:t>
      </w:r>
      <w:r w:rsidR="000E28CE">
        <w:t xml:space="preserve"> weigh on core inflation. Meanwhile, </w:t>
      </w:r>
      <w:r w:rsidR="00A114CF">
        <w:t xml:space="preserve">the </w:t>
      </w:r>
      <w:r w:rsidR="000E28CE">
        <w:t xml:space="preserve">ongoing </w:t>
      </w:r>
      <w:r w:rsidR="00A114CF">
        <w:t xml:space="preserve">impact of </w:t>
      </w:r>
      <w:r w:rsidR="000E28CE">
        <w:t xml:space="preserve">base effects </w:t>
      </w:r>
      <w:r w:rsidR="00174F17">
        <w:t>o</w:t>
      </w:r>
      <w:r w:rsidR="000E28CE">
        <w:t xml:space="preserve">n food prices will </w:t>
      </w:r>
      <w:r w:rsidR="00A114CF">
        <w:t xml:space="preserve">mean </w:t>
      </w:r>
      <w:r w:rsidR="000E28CE">
        <w:t>the positive contributions from this category should fade further in the coming months.</w:t>
      </w:r>
      <w:r w:rsidR="00A114CF">
        <w:t xml:space="preserve"> Therefore, headline inflation is </w:t>
      </w:r>
      <w:r w:rsidR="00A54F7E">
        <w:t>likely</w:t>
      </w:r>
      <w:r w:rsidR="00A114CF">
        <w:t xml:space="preserve"> to return to the 2% target in Q2 and </w:t>
      </w:r>
      <w:r w:rsidR="00A54F7E">
        <w:t xml:space="preserve">then </w:t>
      </w:r>
      <w:hyperlink r:id="rId7" w:history="1">
        <w:r w:rsidR="00A54F7E">
          <w:rPr>
            <w:rStyle w:val="Hyperlink"/>
          </w:rPr>
          <w:t>fall below this mark for much of H2 2024</w:t>
        </w:r>
      </w:hyperlink>
      <w:r w:rsidR="00A114CF">
        <w:t>.</w:t>
      </w:r>
      <w:r w:rsidR="00851440">
        <w:t xml:space="preserve"> Still, our </w:t>
      </w:r>
      <w:r w:rsidR="00496636">
        <w:t xml:space="preserve">forecast that </w:t>
      </w:r>
      <w:r w:rsidR="006F527C">
        <w:t xml:space="preserve">inflation </w:t>
      </w:r>
      <w:r w:rsidR="00496636">
        <w:t>will</w:t>
      </w:r>
      <w:r w:rsidR="006F527C">
        <w:t xml:space="preserve"> average 2.3% this year, </w:t>
      </w:r>
      <w:r w:rsidR="00AE78D9">
        <w:t xml:space="preserve">is </w:t>
      </w:r>
      <w:r w:rsidR="006F527C">
        <w:t>0.2ppts higher than in our March update</w:t>
      </w:r>
      <w:r w:rsidR="00496636">
        <w:t xml:space="preserve">, reflecting </w:t>
      </w:r>
      <w:r w:rsidR="006F527C">
        <w:t xml:space="preserve">the recent </w:t>
      </w:r>
      <w:r w:rsidR="00AE78D9">
        <w:t>rise</w:t>
      </w:r>
      <w:r w:rsidR="00EA7B09">
        <w:t>s</w:t>
      </w:r>
      <w:r w:rsidR="00AE78D9">
        <w:t xml:space="preserve"> </w:t>
      </w:r>
      <w:r w:rsidR="006F527C">
        <w:t xml:space="preserve">in oil and gas futures prices. </w:t>
      </w:r>
    </w:p>
    <w:p w14:paraId="12302ED6" w14:textId="4B757186" w:rsidR="00D879DE" w:rsidRDefault="00EA13BC" w:rsidP="00496636">
      <w:r>
        <w:t xml:space="preserve">There is a high degree of uncertainty surrounding the April outturn. In addition to the impact of </w:t>
      </w:r>
      <w:r w:rsidR="006F527C">
        <w:t>the earlier-than-usual Easter</w:t>
      </w:r>
      <w:r w:rsidR="002331FA">
        <w:t>, which could</w:t>
      </w:r>
      <w:r w:rsidR="006F527C">
        <w:t xml:space="preserve"> unwind </w:t>
      </w:r>
      <w:r w:rsidR="00757886">
        <w:t>in April's data</w:t>
      </w:r>
      <w:r w:rsidR="002331FA">
        <w:t xml:space="preserve">, the scale of </w:t>
      </w:r>
      <w:r w:rsidR="00320472">
        <w:t>the rises for index-linked contracts and regulated prices is particularly uncertain</w:t>
      </w:r>
      <w:r w:rsidR="006F527C">
        <w:t>.</w:t>
      </w:r>
      <w:r w:rsidR="00320472">
        <w:t xml:space="preserve"> </w:t>
      </w:r>
      <w:r w:rsidR="00557B11">
        <w:t>Given these are annual price changes, April's outturn</w:t>
      </w:r>
      <w:r w:rsidR="002D182E">
        <w:t>s for these categories</w:t>
      </w:r>
      <w:r w:rsidR="00557B11">
        <w:t xml:space="preserve"> will have </w:t>
      </w:r>
      <w:r w:rsidR="00ED18A0">
        <w:t>a major impact on the inflation outlook for the rest of the year.</w:t>
      </w:r>
    </w:p>
    <w:p w14:paraId="55FFAFBE" w14:textId="7FBC2B26" w:rsidR="00584D2B" w:rsidRDefault="00584D2B" w:rsidP="00D879DE">
      <w:pPr>
        <w:pStyle w:val="ExhibitTitle"/>
        <w:jc w:val="center"/>
      </w:pPr>
      <w:r>
        <w:t xml:space="preserve">Chart </w:t>
      </w:r>
      <w:r>
        <w:fldChar w:fldCharType="begin"/>
      </w:r>
      <w:r w:rsidR="00102306">
        <w:instrText>SEQ CHART</w:instrText>
      </w:r>
      <w:r>
        <w:fldChar w:fldCharType="separate"/>
      </w:r>
      <w:r w:rsidR="00102306">
        <w:rPr>
          <w:noProof/>
        </w:rPr>
        <w:t>1</w:t>
      </w:r>
      <w:r>
        <w:fldChar w:fldCharType="end"/>
      </w:r>
      <w:r>
        <w:t xml:space="preserve">: </w:t>
      </w:r>
      <w:r w:rsidR="00E65AD8">
        <w:t>Higher</w:t>
      </w:r>
      <w:r w:rsidR="00964E5A">
        <w:t xml:space="preserve"> oil and gas </w:t>
      </w:r>
      <w:r w:rsidR="00E65AD8">
        <w:t xml:space="preserve">futures </w:t>
      </w:r>
      <w:r w:rsidR="00964E5A">
        <w:t>prices have raise</w:t>
      </w:r>
      <w:r w:rsidR="00E65AD8">
        <w:t>d</w:t>
      </w:r>
      <w:r w:rsidR="00964E5A">
        <w:t xml:space="preserve"> our 2024 inflation forecast to 2.3%</w:t>
      </w:r>
    </w:p>
    <w:p w14:paraId="54017EEF" w14:textId="45FA1EAA" w:rsidR="00D879DE" w:rsidRDefault="00D879DE" w:rsidP="00D879DE">
      <w:pPr>
        <w:spacing w:after="0"/>
        <w:jc w:val="center"/>
        <w:rPr>
          <w:noProof/>
        </w:rPr>
      </w:pPr>
      <w:r>
        <w:rPr>
          <w:noProof/>
        </w:rPr>
        <w:drawing>
          <wp:inline distT="0" distB="0" distL="0" distR="0" wp14:anchorId="27772D16" wp14:editId="340FFAFC">
            <wp:extent cx="4006964" cy="3145495"/>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rcRect b="1799"/>
                    <a:stretch>
                      <a:fillRect/>
                    </a:stretch>
                  </pic:blipFill>
                  <pic:spPr>
                    <a:xfrm>
                      <a:off x="0" y="0"/>
                      <a:ext cx="4006964" cy="3145495"/>
                    </a:xfrm>
                    <a:prstGeom prst="rect">
                      <a:avLst/>
                    </a:prstGeom>
                  </pic:spPr>
                </pic:pic>
              </a:graphicData>
            </a:graphic>
          </wp:inline>
        </w:drawing>
      </w:r>
    </w:p>
    <w:p w14:paraId="3A298A3A" w14:textId="4A3FFFF2" w:rsidR="00E1051E" w:rsidRPr="00E1051E" w:rsidRDefault="00D879DE" w:rsidP="006A3022">
      <w:pPr>
        <w:pStyle w:val="ExhibitSource"/>
        <w:jc w:val="center"/>
      </w:pPr>
      <w:r>
        <w:t>Source: Oxford Economics, Haver Analytics</w:t>
      </w:r>
    </w:p>
    <w:sectPr w:rsidR="00E1051E" w:rsidRPr="00E1051E" w:rsidSect="00D879DE">
      <w:headerReference w:type="even" r:id="rId10"/>
      <w:headerReference w:type="default" r:id="rId11"/>
      <w:headerReference w:type="first" r:id="rId12"/>
      <w:footerReference w:type="first" r:id="rId13"/>
      <w:pgSz w:w="11906" w:h="16838"/>
      <w:pgMar w:top="2665" w:right="1276" w:bottom="818" w:left="1134" w:header="708" w:footer="3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0FF36" w14:textId="77777777" w:rsidR="00584D2B" w:rsidRDefault="00584D2B" w:rsidP="00584D2B">
      <w:pPr>
        <w:spacing w:before="0" w:after="0"/>
      </w:pPr>
      <w:r>
        <w:separator/>
      </w:r>
    </w:p>
  </w:endnote>
  <w:endnote w:type="continuationSeparator" w:id="0">
    <w:p w14:paraId="37763A96" w14:textId="77777777" w:rsidR="00584D2B" w:rsidRDefault="00584D2B" w:rsidP="00584D2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7CDDA" w14:textId="3F5EF521" w:rsidR="00584D2B" w:rsidRDefault="00584D2B" w:rsidP="00584D2B">
    <w:pPr>
      <w:pStyle w:val="Author"/>
    </w:pPr>
    <w:r>
      <w:t>Edward Allenby</w:t>
    </w:r>
    <w:r w:rsidR="00E1051E">
      <w:t xml:space="preserve"> - </w:t>
    </w:r>
    <w:r>
      <w:t>UK Economist</w:t>
    </w:r>
    <w:r w:rsidR="00E1051E">
      <w:t xml:space="preserve"> - </w:t>
    </w:r>
    <w:r>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73F62" w14:textId="77777777" w:rsidR="00584D2B" w:rsidRDefault="00584D2B" w:rsidP="00584D2B">
      <w:pPr>
        <w:spacing w:before="0" w:after="0"/>
      </w:pPr>
      <w:r>
        <w:separator/>
      </w:r>
    </w:p>
  </w:footnote>
  <w:footnote w:type="continuationSeparator" w:id="0">
    <w:p w14:paraId="1ED78307" w14:textId="77777777" w:rsidR="00584D2B" w:rsidRDefault="00584D2B" w:rsidP="00584D2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724CD" w14:textId="77777777" w:rsidR="00584D2B" w:rsidRDefault="00584D2B">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F4563" w14:textId="77777777" w:rsidR="00584D2B" w:rsidRDefault="00584D2B">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B17B1" w14:textId="6E692A31" w:rsidR="00584D2B" w:rsidRDefault="00584D2B" w:rsidP="00584D2B">
    <w:r w:rsidRPr="00584D2B">
      <w:rPr>
        <w:noProof/>
      </w:rPr>
      <w:drawing>
        <wp:anchor distT="0" distB="0" distL="114300" distR="114300" simplePos="0" relativeHeight="251659264" behindDoc="1" locked="1" layoutInCell="1" allowOverlap="1" wp14:anchorId="538488B2" wp14:editId="2DC39D59">
          <wp:simplePos x="0" y="0"/>
          <wp:positionH relativeFrom="page">
            <wp:posOffset>0</wp:posOffset>
          </wp:positionH>
          <wp:positionV relativeFrom="page">
            <wp:posOffset>190500</wp:posOffset>
          </wp:positionV>
          <wp:extent cx="7569200" cy="1503667"/>
          <wp:effectExtent l="0" t="0" r="0" b="1905"/>
          <wp:wrapNone/>
          <wp:docPr id="15" name="Picture 1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855416533"/>
      <w:lock w:val="sdtLocked"/>
      <w:placeholder>
        <w:docPart w:val="DefaultPlaceholder_-1854013437"/>
      </w:placeholder>
      <w:date w:fullDate="2024-04-17T00:00:00Z">
        <w:dateFormat w:val="d MMMM yyyy"/>
        <w:lid w:val="en-GB"/>
        <w:storeMappedDataAs w:val="dateTime"/>
        <w:calendar w:val="gregorian"/>
      </w:date>
    </w:sdtPr>
    <w:sdtEndPr/>
    <w:sdtContent>
      <w:p w14:paraId="4E36F835" w14:textId="3CCAF13D" w:rsidR="00584D2B" w:rsidRDefault="00584D2B" w:rsidP="00584D2B">
        <w:pPr>
          <w:pStyle w:val="PublishDate"/>
          <w:framePr w:w="2835" w:h="340" w:hRule="exact" w:hSpace="180" w:wrap="around" w:vAnchor="page" w:hAnchor="page" w:x="7801" w:y="601" w:anchorLock="1"/>
        </w:pPr>
        <w:r>
          <w:t>17 April 2024</w:t>
        </w:r>
      </w:p>
    </w:sdtContent>
  </w:sdt>
  <w:p w14:paraId="1527837C" w14:textId="6CA1A564" w:rsidR="00584D2B" w:rsidRDefault="00F02EA0" w:rsidP="00584D2B">
    <w:pPr>
      <w:pStyle w:val="ProductDescription"/>
      <w:framePr w:w="11339" w:h="1474" w:hRule="exact" w:hSpace="180" w:wrap="around" w:vAnchor="page" w:hAnchor="page" w:x="401" w:y="1141" w:anchorLock="1"/>
      <w:spacing w:after="200"/>
    </w:pPr>
    <w:r>
      <w:t>Monthly inflation forecast</w:t>
    </w:r>
    <w:r w:rsidR="00584D2B">
      <w:t xml:space="preserve"> | </w:t>
    </w:r>
    <w:r>
      <w:t>UK</w:t>
    </w:r>
  </w:p>
  <w:p w14:paraId="0CCD4F3B" w14:textId="43F44E81" w:rsidR="00584D2B" w:rsidRDefault="002F11E3" w:rsidP="00584D2B">
    <w:pPr>
      <w:pStyle w:val="Headline"/>
      <w:framePr w:w="11339" w:h="1474" w:hRule="exact" w:hSpace="180" w:wrap="around" w:vAnchor="page" w:hAnchor="page" w:x="401" w:y="1141" w:anchorLock="1"/>
      <w:spacing w:line="200" w:lineRule="auto"/>
    </w:pPr>
    <w:r>
      <w:t>Higher energy prices push up 2024 inflation forecast slightly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C288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54AA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7222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B6EB2D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9C4E3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D6F2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88D6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DC6C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0C2EE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306BF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A631E12"/>
    <w:multiLevelType w:val="hybridMultilevel"/>
    <w:tmpl w:val="9EB8A598"/>
    <w:lvl w:ilvl="0" w:tplc="4AA61DF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C566A5E"/>
    <w:multiLevelType w:val="hybridMultilevel"/>
    <w:tmpl w:val="ACE8EDBE"/>
    <w:lvl w:ilvl="0" w:tplc="88FEDC1C">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6F32CF"/>
    <w:multiLevelType w:val="hybridMultilevel"/>
    <w:tmpl w:val="BE80DE78"/>
    <w:lvl w:ilvl="0" w:tplc="2ACE6AA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AF2819"/>
    <w:multiLevelType w:val="hybridMultilevel"/>
    <w:tmpl w:val="157C753A"/>
    <w:lvl w:ilvl="0" w:tplc="047AFB1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0809A8"/>
    <w:multiLevelType w:val="hybridMultilevel"/>
    <w:tmpl w:val="5A90D112"/>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912899"/>
    <w:multiLevelType w:val="hybridMultilevel"/>
    <w:tmpl w:val="80E44722"/>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027C37"/>
    <w:multiLevelType w:val="hybridMultilevel"/>
    <w:tmpl w:val="2BB0871A"/>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B14A7F"/>
    <w:multiLevelType w:val="hybridMultilevel"/>
    <w:tmpl w:val="5FC0DC60"/>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DD68A8"/>
    <w:multiLevelType w:val="hybridMultilevel"/>
    <w:tmpl w:val="C1EC2B32"/>
    <w:lvl w:ilvl="0" w:tplc="88E8C1B2">
      <w:start w:val="1"/>
      <w:numFmt w:val="bullet"/>
      <w:lvlText w:val=""/>
      <w:lvlJc w:val="left"/>
      <w:pPr>
        <w:ind w:left="-720" w:hanging="360"/>
      </w:pPr>
      <w:rPr>
        <w:rFonts w:ascii="Wingdings" w:hAnsi="Wingdings" w:hint="default"/>
        <w:color w:val="3D4D79"/>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21" w15:restartNumberingAfterBreak="0">
    <w:nsid w:val="2937580B"/>
    <w:multiLevelType w:val="hybridMultilevel"/>
    <w:tmpl w:val="EB047A7C"/>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7249EA"/>
    <w:multiLevelType w:val="hybridMultilevel"/>
    <w:tmpl w:val="8CAAC5DC"/>
    <w:lvl w:ilvl="0" w:tplc="9CB8E80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341F448B"/>
    <w:multiLevelType w:val="hybridMultilevel"/>
    <w:tmpl w:val="7F02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8C6CA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67277C7"/>
    <w:multiLevelType w:val="hybridMultilevel"/>
    <w:tmpl w:val="D158A6DA"/>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E539D0"/>
    <w:multiLevelType w:val="hybridMultilevel"/>
    <w:tmpl w:val="42541D1C"/>
    <w:lvl w:ilvl="0" w:tplc="60121A1E">
      <w:start w:val="1"/>
      <w:numFmt w:val="bullet"/>
      <w:lvlText w:val=""/>
      <w:lvlJc w:val="left"/>
      <w:pPr>
        <w:ind w:left="720" w:hanging="360"/>
      </w:pPr>
      <w:rPr>
        <w:rFonts w:ascii="Webdings" w:hAnsi="Web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FE14C4"/>
    <w:multiLevelType w:val="hybridMultilevel"/>
    <w:tmpl w:val="C9484A32"/>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EB67AD"/>
    <w:multiLevelType w:val="hybridMultilevel"/>
    <w:tmpl w:val="44E8EBD6"/>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CEC682A"/>
    <w:multiLevelType w:val="hybridMultilevel"/>
    <w:tmpl w:val="9EE8CC52"/>
    <w:lvl w:ilvl="0" w:tplc="7976422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A541FD"/>
    <w:multiLevelType w:val="hybridMultilevel"/>
    <w:tmpl w:val="9574031A"/>
    <w:lvl w:ilvl="0" w:tplc="3C4A3C3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0C224E"/>
    <w:multiLevelType w:val="hybridMultilevel"/>
    <w:tmpl w:val="656E90C8"/>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2ED3B55"/>
    <w:multiLevelType w:val="hybridMultilevel"/>
    <w:tmpl w:val="DF6E0320"/>
    <w:lvl w:ilvl="0" w:tplc="EE083EF2">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714373"/>
    <w:multiLevelType w:val="hybridMultilevel"/>
    <w:tmpl w:val="C3145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162A0F"/>
    <w:multiLevelType w:val="hybridMultilevel"/>
    <w:tmpl w:val="62FAAB68"/>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D775CD"/>
    <w:multiLevelType w:val="hybridMultilevel"/>
    <w:tmpl w:val="6B0E6210"/>
    <w:lvl w:ilvl="0" w:tplc="6AA6C10E">
      <w:start w:val="1"/>
      <w:numFmt w:val="bullet"/>
      <w:lvlText w:val=""/>
      <w:lvlJc w:val="left"/>
      <w:pPr>
        <w:ind w:left="720" w:hanging="360"/>
      </w:pPr>
      <w:rPr>
        <w:rFonts w:ascii="Wingdings" w:hAnsi="Wingdings" w:hint="default"/>
        <w:color w:val="9CC2E5" w:themeColor="accent5" w:themeTint="99"/>
        <w:sz w:val="2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934573"/>
    <w:multiLevelType w:val="multilevel"/>
    <w:tmpl w:val="B352DD0C"/>
    <w:lvl w:ilvl="0">
      <w:start w:val="1"/>
      <w:numFmt w:val="bullet"/>
      <w:lvlText w:val=""/>
      <w:lvlJc w:val="left"/>
      <w:pPr>
        <w:ind w:left="284" w:hanging="284"/>
      </w:pPr>
      <w:rPr>
        <w:rFonts w:ascii="Wingdings" w:hAnsi="Wingdings" w:hint="default"/>
        <w:color w:val="9CC2E5" w:themeColor="accent5" w:themeTint="99"/>
        <w:sz w:val="20"/>
        <w:u w:val="no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571A5AA8"/>
    <w:multiLevelType w:val="hybridMultilevel"/>
    <w:tmpl w:val="53EE3E6E"/>
    <w:lvl w:ilvl="0" w:tplc="1C6A6FC0">
      <w:start w:val="1"/>
      <w:numFmt w:val="bullet"/>
      <w:lvlText w:val=""/>
      <w:lvlJc w:val="left"/>
      <w:pPr>
        <w:ind w:left="720" w:hanging="360"/>
      </w:pPr>
      <w:rPr>
        <w:rFonts w:ascii="Webdings" w:hAnsi="Webdings"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8A20213"/>
    <w:multiLevelType w:val="hybridMultilevel"/>
    <w:tmpl w:val="8E3294BA"/>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9321EE"/>
    <w:multiLevelType w:val="hybridMultilevel"/>
    <w:tmpl w:val="B3986AB2"/>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1" w15:restartNumberingAfterBreak="0">
    <w:nsid w:val="646D6F89"/>
    <w:multiLevelType w:val="hybridMultilevel"/>
    <w:tmpl w:val="3602343A"/>
    <w:lvl w:ilvl="0" w:tplc="B3C29BA0">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3843C1"/>
    <w:multiLevelType w:val="hybridMultilevel"/>
    <w:tmpl w:val="EC5AE4DA"/>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913A18"/>
    <w:multiLevelType w:val="hybridMultilevel"/>
    <w:tmpl w:val="FB104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abstractNum w:abstractNumId="45" w15:restartNumberingAfterBreak="0">
    <w:nsid w:val="6FB00AB4"/>
    <w:multiLevelType w:val="hybridMultilevel"/>
    <w:tmpl w:val="A8CC42E2"/>
    <w:lvl w:ilvl="0" w:tplc="71A6902E">
      <w:start w:val="1"/>
      <w:numFmt w:val="bullet"/>
      <w:lvlRestart w:val="0"/>
      <w:lvlText w:val=""/>
      <w:lvlJc w:val="left"/>
      <w:pPr>
        <w:ind w:left="436"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6" w15:restartNumberingAfterBreak="0">
    <w:nsid w:val="6FE038AD"/>
    <w:multiLevelType w:val="hybridMultilevel"/>
    <w:tmpl w:val="2C2026B0"/>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473CBD"/>
    <w:multiLevelType w:val="hybridMultilevel"/>
    <w:tmpl w:val="CE008BB4"/>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81E78D7"/>
    <w:multiLevelType w:val="hybridMultilevel"/>
    <w:tmpl w:val="250EEE86"/>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57066755">
    <w:abstractNumId w:val="34"/>
  </w:num>
  <w:num w:numId="2" w16cid:durableId="864709852">
    <w:abstractNumId w:val="24"/>
  </w:num>
  <w:num w:numId="3" w16cid:durableId="170141854">
    <w:abstractNumId w:val="26"/>
  </w:num>
  <w:num w:numId="4" w16cid:durableId="2022080164">
    <w:abstractNumId w:val="19"/>
  </w:num>
  <w:num w:numId="5" w16cid:durableId="633868692">
    <w:abstractNumId w:val="21"/>
  </w:num>
  <w:num w:numId="6" w16cid:durableId="205606775">
    <w:abstractNumId w:val="28"/>
  </w:num>
  <w:num w:numId="7" w16cid:durableId="1341548242">
    <w:abstractNumId w:val="42"/>
  </w:num>
  <w:num w:numId="8" w16cid:durableId="1608809521">
    <w:abstractNumId w:val="15"/>
  </w:num>
  <w:num w:numId="9" w16cid:durableId="827750414">
    <w:abstractNumId w:val="43"/>
  </w:num>
  <w:num w:numId="10" w16cid:durableId="1895777725">
    <w:abstractNumId w:val="12"/>
  </w:num>
  <w:num w:numId="11" w16cid:durableId="419177641">
    <w:abstractNumId w:val="29"/>
  </w:num>
  <w:num w:numId="12" w16cid:durableId="643124691">
    <w:abstractNumId w:val="39"/>
  </w:num>
  <w:num w:numId="13" w16cid:durableId="1396971143">
    <w:abstractNumId w:val="17"/>
  </w:num>
  <w:num w:numId="14" w16cid:durableId="1801068061">
    <w:abstractNumId w:val="46"/>
  </w:num>
  <w:num w:numId="15" w16cid:durableId="1834755199">
    <w:abstractNumId w:val="35"/>
  </w:num>
  <w:num w:numId="16" w16cid:durableId="1485003970">
    <w:abstractNumId w:val="32"/>
  </w:num>
  <w:num w:numId="17" w16cid:durableId="970019928">
    <w:abstractNumId w:val="18"/>
  </w:num>
  <w:num w:numId="18" w16cid:durableId="156044252">
    <w:abstractNumId w:val="16"/>
  </w:num>
  <w:num w:numId="19" w16cid:durableId="456290779">
    <w:abstractNumId w:val="47"/>
  </w:num>
  <w:num w:numId="20" w16cid:durableId="1085956658">
    <w:abstractNumId w:val="48"/>
  </w:num>
  <w:num w:numId="21" w16cid:durableId="1413891431">
    <w:abstractNumId w:val="9"/>
  </w:num>
  <w:num w:numId="22" w16cid:durableId="1296302580">
    <w:abstractNumId w:val="7"/>
  </w:num>
  <w:num w:numId="23" w16cid:durableId="304238931">
    <w:abstractNumId w:val="6"/>
  </w:num>
  <w:num w:numId="24" w16cid:durableId="584069693">
    <w:abstractNumId w:val="5"/>
  </w:num>
  <w:num w:numId="25" w16cid:durableId="366032351">
    <w:abstractNumId w:val="4"/>
  </w:num>
  <w:num w:numId="26" w16cid:durableId="1789007274">
    <w:abstractNumId w:val="8"/>
  </w:num>
  <w:num w:numId="27" w16cid:durableId="1199199306">
    <w:abstractNumId w:val="3"/>
  </w:num>
  <w:num w:numId="28" w16cid:durableId="1535534948">
    <w:abstractNumId w:val="2"/>
  </w:num>
  <w:num w:numId="29" w16cid:durableId="703098248">
    <w:abstractNumId w:val="1"/>
  </w:num>
  <w:num w:numId="30" w16cid:durableId="1429891181">
    <w:abstractNumId w:val="0"/>
  </w:num>
  <w:num w:numId="31" w16cid:durableId="1639874360">
    <w:abstractNumId w:val="40"/>
  </w:num>
  <w:num w:numId="32" w16cid:durableId="1343439432">
    <w:abstractNumId w:val="45"/>
  </w:num>
  <w:num w:numId="33" w16cid:durableId="25445217">
    <w:abstractNumId w:val="20"/>
  </w:num>
  <w:num w:numId="34" w16cid:durableId="351540240">
    <w:abstractNumId w:val="23"/>
  </w:num>
  <w:num w:numId="35" w16cid:durableId="1545945201">
    <w:abstractNumId w:val="14"/>
  </w:num>
  <w:num w:numId="36" w16cid:durableId="1959749646">
    <w:abstractNumId w:val="31"/>
  </w:num>
  <w:num w:numId="37" w16cid:durableId="543442456">
    <w:abstractNumId w:val="13"/>
  </w:num>
  <w:num w:numId="38" w16cid:durableId="1202548238">
    <w:abstractNumId w:val="30"/>
  </w:num>
  <w:num w:numId="39" w16cid:durableId="1403524468">
    <w:abstractNumId w:val="27"/>
  </w:num>
  <w:num w:numId="40" w16cid:durableId="1010136931">
    <w:abstractNumId w:val="38"/>
  </w:num>
  <w:num w:numId="41" w16cid:durableId="1569461302">
    <w:abstractNumId w:val="22"/>
  </w:num>
  <w:num w:numId="42" w16cid:durableId="467161472">
    <w:abstractNumId w:val="33"/>
  </w:num>
  <w:num w:numId="43" w16cid:durableId="1582133711">
    <w:abstractNumId w:val="36"/>
  </w:num>
  <w:num w:numId="44" w16cid:durableId="1412004798">
    <w:abstractNumId w:val="11"/>
  </w:num>
  <w:num w:numId="45" w16cid:durableId="2074311132">
    <w:abstractNumId w:val="11"/>
    <w:lvlOverride w:ilvl="0">
      <w:startOverride w:val="1"/>
    </w:lvlOverride>
  </w:num>
  <w:num w:numId="46" w16cid:durableId="1422723500">
    <w:abstractNumId w:val="44"/>
  </w:num>
  <w:num w:numId="47" w16cid:durableId="908611049">
    <w:abstractNumId w:val="41"/>
  </w:num>
  <w:num w:numId="48" w16cid:durableId="607470153">
    <w:abstractNumId w:val="37"/>
  </w:num>
  <w:num w:numId="49" w16cid:durableId="560673097">
    <w:abstractNumId w:val="25"/>
  </w:num>
  <w:num w:numId="50" w16cid:durableId="2272264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ocumentProtection w:formatting="1" w:enforcement="1"/>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D2B"/>
    <w:rsid w:val="00053094"/>
    <w:rsid w:val="000D051A"/>
    <w:rsid w:val="000E28CE"/>
    <w:rsid w:val="00102306"/>
    <w:rsid w:val="00174F17"/>
    <w:rsid w:val="001D7BB5"/>
    <w:rsid w:val="002331FA"/>
    <w:rsid w:val="00235C14"/>
    <w:rsid w:val="002D182E"/>
    <w:rsid w:val="002D4F23"/>
    <w:rsid w:val="002E6BE5"/>
    <w:rsid w:val="002F11E3"/>
    <w:rsid w:val="002F4A18"/>
    <w:rsid w:val="00320472"/>
    <w:rsid w:val="003F47E9"/>
    <w:rsid w:val="00442822"/>
    <w:rsid w:val="0049346E"/>
    <w:rsid w:val="00496636"/>
    <w:rsid w:val="00557B11"/>
    <w:rsid w:val="00584D2B"/>
    <w:rsid w:val="00644F8A"/>
    <w:rsid w:val="00661B8E"/>
    <w:rsid w:val="00673B00"/>
    <w:rsid w:val="006A3022"/>
    <w:rsid w:val="006F527C"/>
    <w:rsid w:val="00757886"/>
    <w:rsid w:val="007770FB"/>
    <w:rsid w:val="00851440"/>
    <w:rsid w:val="008A6D3D"/>
    <w:rsid w:val="008E2F09"/>
    <w:rsid w:val="0092725A"/>
    <w:rsid w:val="00964E5A"/>
    <w:rsid w:val="00A114CF"/>
    <w:rsid w:val="00A1576C"/>
    <w:rsid w:val="00A54F7E"/>
    <w:rsid w:val="00AE78D9"/>
    <w:rsid w:val="00B25B7B"/>
    <w:rsid w:val="00C87CB3"/>
    <w:rsid w:val="00CB0D11"/>
    <w:rsid w:val="00CB107C"/>
    <w:rsid w:val="00D24223"/>
    <w:rsid w:val="00D879DE"/>
    <w:rsid w:val="00DA090B"/>
    <w:rsid w:val="00E1051E"/>
    <w:rsid w:val="00E11DD6"/>
    <w:rsid w:val="00E65AD8"/>
    <w:rsid w:val="00E93C2A"/>
    <w:rsid w:val="00EA13BC"/>
    <w:rsid w:val="00EA7B09"/>
    <w:rsid w:val="00ED18A0"/>
    <w:rsid w:val="00EE2BAB"/>
    <w:rsid w:val="00EE62C3"/>
    <w:rsid w:val="00F02EA0"/>
    <w:rsid w:val="00F0668C"/>
    <w:rsid w:val="00F06858"/>
    <w:rsid w:val="00F13FA2"/>
    <w:rsid w:val="00F15E3A"/>
    <w:rsid w:val="00F273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88FC8FA"/>
  <w15:chartTrackingRefBased/>
  <w15:docId w15:val="{F73E4547-319D-4973-821C-78E3BB506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D2B"/>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584D2B"/>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584D2B"/>
    <w:pPr>
      <w:outlineLvl w:val="1"/>
    </w:pPr>
    <w:rPr>
      <w:sz w:val="28"/>
    </w:rPr>
  </w:style>
  <w:style w:type="paragraph" w:styleId="Heading3">
    <w:name w:val="heading 3"/>
    <w:basedOn w:val="Normal"/>
    <w:next w:val="Normal"/>
    <w:link w:val="Heading3Char"/>
    <w:uiPriority w:val="9"/>
    <w:unhideWhenUsed/>
    <w:qFormat/>
    <w:rsid w:val="00584D2B"/>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584D2B"/>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584D2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584D2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584D2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584D2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584D2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584D2B"/>
    <w:pPr>
      <w:tabs>
        <w:tab w:val="center" w:pos="4320"/>
        <w:tab w:val="right" w:pos="8640"/>
      </w:tabs>
    </w:pPr>
  </w:style>
  <w:style w:type="character" w:customStyle="1" w:styleId="HeaderChar">
    <w:name w:val="Header Char"/>
    <w:basedOn w:val="DefaultParagraphFont"/>
    <w:link w:val="Header"/>
    <w:uiPriority w:val="99"/>
    <w:rsid w:val="00584D2B"/>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584D2B"/>
    <w:pPr>
      <w:tabs>
        <w:tab w:val="center" w:pos="4320"/>
        <w:tab w:val="right" w:pos="8640"/>
      </w:tabs>
    </w:pPr>
  </w:style>
  <w:style w:type="character" w:customStyle="1" w:styleId="FooterChar">
    <w:name w:val="Footer Char"/>
    <w:basedOn w:val="DefaultParagraphFont"/>
    <w:link w:val="Footer"/>
    <w:uiPriority w:val="99"/>
    <w:rsid w:val="00584D2B"/>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584D2B"/>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584D2B"/>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584D2B"/>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584D2B"/>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584D2B"/>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584D2B"/>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584D2B"/>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584D2B"/>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584D2B"/>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584D2B"/>
    <w:rPr>
      <w:noProof w:val="0"/>
    </w:rPr>
  </w:style>
  <w:style w:type="character" w:styleId="Hyperlink">
    <w:name w:val="Hyperlink"/>
    <w:basedOn w:val="DefaultParagraphFont"/>
    <w:uiPriority w:val="99"/>
    <w:unhideWhenUsed/>
    <w:rsid w:val="00584D2B"/>
    <w:rPr>
      <w:noProof w:val="0"/>
      <w:color w:val="0563C1" w:themeColor="hyperlink"/>
      <w:u w:val="single"/>
    </w:rPr>
  </w:style>
  <w:style w:type="paragraph" w:styleId="ListParagraph">
    <w:name w:val="List Paragraph"/>
    <w:next w:val="Normal"/>
    <w:link w:val="ListParagraphChar"/>
    <w:uiPriority w:val="34"/>
    <w:locked/>
    <w:rsid w:val="00584D2B"/>
    <w:pPr>
      <w:numPr>
        <w:numId w:val="46"/>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584D2B"/>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584D2B"/>
    <w:pPr>
      <w:spacing w:after="120"/>
    </w:pPr>
    <w:rPr>
      <w:b/>
      <w:bCs/>
      <w:color w:val="FFFFFF"/>
      <w:sz w:val="32"/>
      <w:szCs w:val="32"/>
    </w:rPr>
  </w:style>
  <w:style w:type="paragraph" w:customStyle="1" w:styleId="Headline">
    <w:name w:val="Headline"/>
    <w:basedOn w:val="Normal"/>
    <w:next w:val="Normal"/>
    <w:link w:val="HeadlineChar"/>
    <w:qFormat/>
    <w:rsid w:val="00584D2B"/>
    <w:rPr>
      <w:rFonts w:ascii="Segoe UI Semilight" w:hAnsi="Segoe UI Semilight" w:cs="Segoe UI Semilight"/>
      <w:b/>
      <w:bCs/>
      <w:color w:val="FFFFFF"/>
      <w:sz w:val="40"/>
      <w:szCs w:val="40"/>
    </w:rPr>
  </w:style>
  <w:style w:type="paragraph" w:customStyle="1" w:styleId="ExhibitTitle">
    <w:name w:val="Exhibit Title"/>
    <w:basedOn w:val="Normal"/>
    <w:qFormat/>
    <w:rsid w:val="00584D2B"/>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584D2B"/>
    <w:pPr>
      <w:shd w:val="clear" w:color="auto" w:fill="D6E2FA"/>
      <w:spacing w:after="0"/>
    </w:pPr>
    <w:rPr>
      <w:color w:val="595959" w:themeColor="text1" w:themeTint="A6"/>
      <w:sz w:val="18"/>
    </w:rPr>
  </w:style>
  <w:style w:type="paragraph" w:customStyle="1" w:styleId="ExhibitSource">
    <w:name w:val="Exhibit Source"/>
    <w:next w:val="Normal"/>
    <w:qFormat/>
    <w:rsid w:val="00584D2B"/>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584D2B"/>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584D2B"/>
    <w:pPr>
      <w:numPr>
        <w:numId w:val="44"/>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584D2B"/>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584D2B"/>
    <w:pPr>
      <w:ind w:left="862" w:right="862"/>
      <w:jc w:val="center"/>
    </w:pPr>
    <w:rPr>
      <w:i/>
      <w:iCs/>
      <w:color w:val="404040" w:themeColor="text1" w:themeTint="BF"/>
    </w:rPr>
  </w:style>
  <w:style w:type="character" w:customStyle="1" w:styleId="QuoteChar">
    <w:name w:val="Quote Char"/>
    <w:basedOn w:val="DefaultParagraphFont"/>
    <w:link w:val="Quote"/>
    <w:uiPriority w:val="29"/>
    <w:rsid w:val="00584D2B"/>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584D2B"/>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584D2B"/>
    <w:rPr>
      <w:rFonts w:ascii="Segoe UI" w:hAnsi="Segoe UI" w:cs="Segoe UI"/>
      <w:noProof w:val="0"/>
      <w:color w:val="000000" w:themeColor="text1"/>
    </w:rPr>
  </w:style>
  <w:style w:type="paragraph" w:customStyle="1" w:styleId="Summary">
    <w:name w:val="Summary"/>
    <w:basedOn w:val="Normal"/>
    <w:link w:val="SummaryChar"/>
    <w:qFormat/>
    <w:rsid w:val="00584D2B"/>
    <w:pPr>
      <w:numPr>
        <w:numId w:val="34"/>
      </w:numPr>
      <w:ind w:left="1797" w:hanging="357"/>
    </w:pPr>
    <w:rPr>
      <w:kern w:val="2"/>
      <w:sz w:val="22"/>
      <w14:ligatures w14:val="standardContextual"/>
    </w:rPr>
  </w:style>
  <w:style w:type="paragraph" w:customStyle="1" w:styleId="TableData">
    <w:name w:val="Table Data"/>
    <w:link w:val="TableDataChar"/>
    <w:qFormat/>
    <w:rsid w:val="00584D2B"/>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584D2B"/>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584D2B"/>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584D2B"/>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584D2B"/>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584D2B"/>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584D2B"/>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584D2B"/>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584D2B"/>
    <w:pPr>
      <w:numPr>
        <w:numId w:val="50"/>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584D2B"/>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584D2B"/>
    <w:rPr>
      <w:color w:val="003469"/>
    </w:rPr>
  </w:style>
  <w:style w:type="character" w:customStyle="1" w:styleId="RepeatingFooterChar">
    <w:name w:val="Repeating Footer Char"/>
    <w:basedOn w:val="FooterChar"/>
    <w:link w:val="RepeatingFooter"/>
    <w:rsid w:val="00584D2B"/>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584D2B"/>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584D2B"/>
    <w:rPr>
      <w:b/>
      <w:bCs/>
      <w:noProof w:val="0"/>
    </w:rPr>
  </w:style>
  <w:style w:type="character" w:customStyle="1" w:styleId="Italics">
    <w:name w:val="Italics"/>
    <w:uiPriority w:val="1"/>
    <w:qFormat/>
    <w:rsid w:val="00584D2B"/>
    <w:rPr>
      <w:i/>
      <w:iCs/>
      <w:noProof w:val="0"/>
    </w:rPr>
  </w:style>
  <w:style w:type="table" w:customStyle="1" w:styleId="TableGridHeader">
    <w:name w:val="Table Grid Header"/>
    <w:basedOn w:val="TableNormal"/>
    <w:uiPriority w:val="99"/>
    <w:rsid w:val="00584D2B"/>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my.oxfordeconomics.com/reportaction/c4463ccfcDE94FB598CaD1/Toc"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32AF29D2-D614-47C1-A7D0-0AFDEBA49267}"/>
      </w:docPartPr>
      <w:docPartBody>
        <w:p w:rsidR="00DC540C" w:rsidRDefault="00DC540C">
          <w:r w:rsidRPr="00ED39BF">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40C"/>
    <w:rsid w:val="00DC54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412</Words>
  <Characters>2142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38</cp:revision>
  <dcterms:created xsi:type="dcterms:W3CDTF">2024-04-17T10:38:00Z</dcterms:created>
  <dcterms:modified xsi:type="dcterms:W3CDTF">2024-04-17T11:19:00Z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v0.8.0.7</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2024-04-17T11:14:04.000Z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v0.8.0.7</vt:lpwstr>
  </property>
  <property fmtid="{D5CDD505-2E9C-101B-9397-08002B2CF9AE}" pid="10" name="OEP_ANALYST_FULLNAME">
    <vt:lpwstr>Edward Allenby</vt:lpwstr>
  </property>
  <property fmtid="{D5CDD505-2E9C-101B-9397-08002B2CF9AE}" pid="11" name="OEP_ANALYST_JOBTITLE">
    <vt:lpwstr>UK Economist</vt:lpwstr>
  </property>
  <property fmtid="{D5CDD505-2E9C-101B-9397-08002B2CF9AE}" pid="12" name="OEP_ANALYST_EMAIL">
    <vt:lpwstr>eallenby@oxfordeconomics.com</vt:lpwstr>
  </property>
  <property fmtid="{D5CDD505-2E9C-101B-9397-08002B2CF9AE}" pid="13" name="OEP_AUTHORS">
    <vt:lpwstr>Edward Allenby|UK Economist|eallenby@oxfordeconomics.com_x000d_</vt:lpwstr>
  </property>
  <property fmtid="{D5CDD505-2E9C-101B-9397-08002B2CF9AE}" pid="14" name="OEP_CATEGORIES">
    <vt:lpwstr>AnalysisbyRegion-Europe-UnitedKingdom,Macro-UKMonthlyInflation</vt:lpwstr>
  </property>
  <property fmtid="{D5CDD505-2E9C-101B-9397-08002B2CF9AE}" pid="15" name="OEP_TAGS">
    <vt:lpwstr>Key Themes:inflation,forecast</vt:lpwstr>
  </property>
  <property fmtid="{D5CDD505-2E9C-101B-9397-08002B2CF9AE}" pid="16" name="OEP_DATA_FILEPATH">
    <vt:lpwstr>Z:\UK Team\Inflation Model\20240417 UK IF.xlsx</vt:lpwstr>
  </property>
  <property fmtid="{D5CDD505-2E9C-101B-9397-08002B2CF9AE}" pid="17" name="OEP_PRODUCT_CODE">
    <vt:lpwstr>1204fe5d56154A7fb732B3</vt:lpwstr>
  </property>
  <property fmtid="{D5CDD505-2E9C-101B-9397-08002B2CF9AE}" pid="18" name="OEP_PUBLISH_DATE">
    <vt:lpwstr/>
  </property>
</Properties>
</file>