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CFB73" w14:textId="415D3F08" w:rsidR="00431985" w:rsidRDefault="00AF330F" w:rsidP="00F65944">
      <w:pPr>
        <w:pStyle w:val="Bullet"/>
      </w:pPr>
      <w:r>
        <w:t xml:space="preserve">The </w:t>
      </w:r>
      <w:r w:rsidR="007A120D">
        <w:t xml:space="preserve">drop in UK CPI inflation </w:t>
      </w:r>
      <w:r w:rsidR="001453C9">
        <w:t xml:space="preserve">in April </w:t>
      </w:r>
      <w:r w:rsidR="007A120D">
        <w:t xml:space="preserve">was </w:t>
      </w:r>
      <w:r w:rsidR="003170D7">
        <w:t xml:space="preserve">slightly </w:t>
      </w:r>
      <w:r w:rsidR="007A120D">
        <w:t>smaller than we had anticipated</w:t>
      </w:r>
      <w:r w:rsidR="0022382B">
        <w:t xml:space="preserve">. This was </w:t>
      </w:r>
      <w:r w:rsidR="003170D7">
        <w:t>primarily</w:t>
      </w:r>
      <w:r w:rsidR="0022382B">
        <w:t xml:space="preserve"> due to </w:t>
      </w:r>
      <w:r w:rsidR="004D1314">
        <w:t xml:space="preserve">larger </w:t>
      </w:r>
      <w:r w:rsidR="004A7576">
        <w:t xml:space="preserve">once-a-year price hikes </w:t>
      </w:r>
      <w:r w:rsidR="003170D7">
        <w:t xml:space="preserve">for </w:t>
      </w:r>
      <w:r w:rsidR="00265F43">
        <w:t>many index-linked contracts and regulated</w:t>
      </w:r>
      <w:r w:rsidR="008D48B5">
        <w:t xml:space="preserve"> prices.</w:t>
      </w:r>
      <w:r w:rsidR="00CF1AF8">
        <w:t xml:space="preserve"> This </w:t>
      </w:r>
      <w:r w:rsidR="00C83032">
        <w:t xml:space="preserve">development </w:t>
      </w:r>
      <w:r w:rsidR="00CF1AF8">
        <w:t xml:space="preserve">bakes in higher inflation </w:t>
      </w:r>
      <w:r w:rsidR="008524F5">
        <w:t>for another year in these categories</w:t>
      </w:r>
      <w:r w:rsidR="00C83032">
        <w:t>,</w:t>
      </w:r>
      <w:r w:rsidR="008524F5">
        <w:t xml:space="preserve"> so we now </w:t>
      </w:r>
      <w:r w:rsidR="00A1539D">
        <w:t>expect CPI inflation to average 2.5% in 2024</w:t>
      </w:r>
      <w:r w:rsidR="000B3C93">
        <w:t>, up from 2.3% last month</w:t>
      </w:r>
      <w:r w:rsidR="00A1539D">
        <w:t>.</w:t>
      </w:r>
    </w:p>
    <w:p w14:paraId="6C34872A" w14:textId="71B42B10" w:rsidR="00004AAF" w:rsidRDefault="003C5D34" w:rsidP="00F65944">
      <w:pPr>
        <w:pStyle w:val="Bullet"/>
      </w:pPr>
      <w:r>
        <w:t xml:space="preserve">But we still think inflation </w:t>
      </w:r>
      <w:r w:rsidR="00B9579E">
        <w:t>will</w:t>
      </w:r>
      <w:r w:rsidR="00C33668">
        <w:t xml:space="preserve"> drop back to the Bank of England's 2% target in </w:t>
      </w:r>
      <w:r w:rsidR="00EB2C89">
        <w:t>May</w:t>
      </w:r>
      <w:r w:rsidR="0089527F">
        <w:t xml:space="preserve">. </w:t>
      </w:r>
      <w:r w:rsidR="00FF5A74">
        <w:t xml:space="preserve">Base effects will continue to weigh. </w:t>
      </w:r>
      <w:r w:rsidR="00EB2C89">
        <w:t>T</w:t>
      </w:r>
      <w:r w:rsidR="00B71425">
        <w:t xml:space="preserve">he indirect effects of </w:t>
      </w:r>
      <w:r w:rsidR="00FF5A74">
        <w:t>lower</w:t>
      </w:r>
      <w:r w:rsidR="00B71425">
        <w:t xml:space="preserve"> energy prices should </w:t>
      </w:r>
      <w:r w:rsidR="00D3686A">
        <w:t xml:space="preserve">increasingly </w:t>
      </w:r>
      <w:r w:rsidR="00B9579E">
        <w:t xml:space="preserve">drag </w:t>
      </w:r>
      <w:r w:rsidR="00D3686A">
        <w:t xml:space="preserve">on food and core </w:t>
      </w:r>
      <w:r w:rsidR="00BB1924">
        <w:t>inflation</w:t>
      </w:r>
      <w:r w:rsidR="00D3686A">
        <w:t>.</w:t>
      </w:r>
      <w:r w:rsidR="00E4784F">
        <w:t xml:space="preserve"> We also expect Ofgem to cut the energy price cap by </w:t>
      </w:r>
      <w:r w:rsidR="00002E1F">
        <w:t>6% in July.</w:t>
      </w:r>
    </w:p>
    <w:p w14:paraId="4A94B7F2" w14:textId="0F925332" w:rsidR="00431985" w:rsidRDefault="00E70FFC" w:rsidP="00F65944">
      <w:r>
        <w:t>Despite falling to 2.3% fro</w:t>
      </w:r>
      <w:r w:rsidR="007F395E">
        <w:t xml:space="preserve">m 3.2% the previous month, CPI inflation surprised to the upside </w:t>
      </w:r>
      <w:r w:rsidR="009204AE">
        <w:t xml:space="preserve">slightly in April. </w:t>
      </w:r>
      <w:r w:rsidR="007427D2">
        <w:t>H</w:t>
      </w:r>
      <w:r w:rsidR="009131D0">
        <w:t>alf of the d</w:t>
      </w:r>
      <w:r w:rsidR="00596DE2">
        <w:t xml:space="preserve">rop in the annual rate came from the energy category, as </w:t>
      </w:r>
      <w:r w:rsidR="00770DEF">
        <w:t xml:space="preserve">Ofgem's near-12% cut in the price cap came into </w:t>
      </w:r>
      <w:r w:rsidR="00D8366A">
        <w:t>effect</w:t>
      </w:r>
      <w:r w:rsidR="00C23593">
        <w:t xml:space="preserve">. </w:t>
      </w:r>
      <w:r w:rsidR="00CE3451">
        <w:t xml:space="preserve">Meanwhile, </w:t>
      </w:r>
      <w:r w:rsidR="00893F19">
        <w:t xml:space="preserve">food price inflation </w:t>
      </w:r>
      <w:r w:rsidR="001A7AB5">
        <w:t>cooled further</w:t>
      </w:r>
      <w:r w:rsidR="0036522C">
        <w:t xml:space="preserve">. </w:t>
      </w:r>
      <w:r w:rsidR="00A12A41">
        <w:t xml:space="preserve">We had </w:t>
      </w:r>
      <w:hyperlink r:id="rId7" w:history="1">
        <w:r w:rsidR="00A12A41" w:rsidRPr="00B4161F">
          <w:rPr>
            <w:rStyle w:val="Hyperlink"/>
          </w:rPr>
          <w:t>previously</w:t>
        </w:r>
        <w:r w:rsidR="00F0584C" w:rsidRPr="00B4161F">
          <w:rPr>
            <w:rStyle w:val="Hyperlink"/>
          </w:rPr>
          <w:t xml:space="preserve"> </w:t>
        </w:r>
        <w:r w:rsidR="004E0986" w:rsidRPr="00B4161F">
          <w:rPr>
            <w:rStyle w:val="Hyperlink"/>
          </w:rPr>
          <w:t>flagged</w:t>
        </w:r>
      </w:hyperlink>
      <w:r w:rsidR="004E0986">
        <w:t xml:space="preserve"> </w:t>
      </w:r>
      <w:r w:rsidR="00F0584C">
        <w:t xml:space="preserve">there was a high degree of uncertainty surrounding April's </w:t>
      </w:r>
      <w:r w:rsidR="00EC3165">
        <w:t xml:space="preserve">core inflation </w:t>
      </w:r>
      <w:r w:rsidR="00812B8E">
        <w:t xml:space="preserve">outturn </w:t>
      </w:r>
      <w:r w:rsidR="009963E9">
        <w:t xml:space="preserve">given </w:t>
      </w:r>
      <w:r w:rsidR="00DF54FC">
        <w:t xml:space="preserve">once-a-year </w:t>
      </w:r>
      <w:r w:rsidR="00943525">
        <w:t xml:space="preserve">price hikes </w:t>
      </w:r>
      <w:r w:rsidR="009963E9">
        <w:t xml:space="preserve">would </w:t>
      </w:r>
      <w:r w:rsidR="00943525">
        <w:t>kick</w:t>
      </w:r>
      <w:r w:rsidR="00A26847">
        <w:t xml:space="preserve"> </w:t>
      </w:r>
      <w:r w:rsidR="00943525">
        <w:t xml:space="preserve">in </w:t>
      </w:r>
      <w:r w:rsidR="00D417F0">
        <w:t>for index-linked contracts and regulated prices</w:t>
      </w:r>
      <w:r w:rsidR="0066100C">
        <w:t xml:space="preserve">. </w:t>
      </w:r>
      <w:r w:rsidR="009963E9">
        <w:t>T</w:t>
      </w:r>
      <w:r w:rsidR="003962F6">
        <w:t xml:space="preserve">he </w:t>
      </w:r>
      <w:r w:rsidR="008A49DA">
        <w:t>magnitude</w:t>
      </w:r>
      <w:r w:rsidR="003962F6">
        <w:t xml:space="preserve"> of these increases</w:t>
      </w:r>
      <w:r w:rsidR="008A49DA">
        <w:t xml:space="preserve"> was</w:t>
      </w:r>
      <w:r w:rsidR="00160A2F">
        <w:t xml:space="preserve"> </w:t>
      </w:r>
      <w:r w:rsidR="008A49DA">
        <w:t>larger than we had expected</w:t>
      </w:r>
      <w:r w:rsidR="008E0790">
        <w:t xml:space="preserve">, </w:t>
      </w:r>
      <w:r w:rsidR="00C101A5">
        <w:t xml:space="preserve">to the extent that </w:t>
      </w:r>
      <w:r w:rsidR="0002500C">
        <w:t xml:space="preserve">the m/m </w:t>
      </w:r>
      <w:r w:rsidR="006722DB">
        <w:t xml:space="preserve">rise </w:t>
      </w:r>
      <w:r w:rsidR="00C101A5">
        <w:t xml:space="preserve">in services prices </w:t>
      </w:r>
      <w:r w:rsidR="00E70EFB">
        <w:t xml:space="preserve">was only </w:t>
      </w:r>
      <w:r w:rsidR="00357299">
        <w:t>marginally</w:t>
      </w:r>
      <w:r w:rsidR="00E70EFB">
        <w:t xml:space="preserve"> smaller than last year's </w:t>
      </w:r>
      <w:r w:rsidR="0008439F">
        <w:t>bumper</w:t>
      </w:r>
      <w:r w:rsidR="00E70EFB">
        <w:t xml:space="preserve"> increase.</w:t>
      </w:r>
      <w:r w:rsidR="0066100C">
        <w:t xml:space="preserve"> </w:t>
      </w:r>
      <w:r w:rsidR="009C7A7D">
        <w:t xml:space="preserve">Elsewhere, </w:t>
      </w:r>
      <w:r w:rsidR="00A62E37">
        <w:t xml:space="preserve">RPI </w:t>
      </w:r>
      <w:r w:rsidR="00FC51CC">
        <w:t xml:space="preserve">and RPIX both </w:t>
      </w:r>
      <w:r w:rsidR="00BB6579">
        <w:t xml:space="preserve">dropped by 1ppt to </w:t>
      </w:r>
      <w:r w:rsidR="00004AAF">
        <w:t>2.3% and 3.3% respectively.</w:t>
      </w:r>
    </w:p>
    <w:p w14:paraId="1187C1B4" w14:textId="559CCADC" w:rsidR="00431985" w:rsidRDefault="00C7206D" w:rsidP="00431985">
      <w:r>
        <w:t xml:space="preserve">That </w:t>
      </w:r>
      <w:r w:rsidR="00312763">
        <w:t xml:space="preserve">some of </w:t>
      </w:r>
      <w:r w:rsidR="00ED1847">
        <w:t xml:space="preserve">April's </w:t>
      </w:r>
      <w:r w:rsidR="00312763">
        <w:t xml:space="preserve">upside surprise reflected </w:t>
      </w:r>
      <w:r w:rsidR="00EA3164">
        <w:t>larger increases for goods and services where prices change once-a-year</w:t>
      </w:r>
      <w:r w:rsidR="0078440B">
        <w:t xml:space="preserve"> means higher inflation is now baked in for another year in these categories. </w:t>
      </w:r>
      <w:r w:rsidR="00671DCC">
        <w:t>Therefore</w:t>
      </w:r>
      <w:r w:rsidR="00715A82">
        <w:t xml:space="preserve">, </w:t>
      </w:r>
      <w:r w:rsidR="00EB28D6">
        <w:t xml:space="preserve">we have </w:t>
      </w:r>
      <w:r w:rsidR="00D03732">
        <w:t xml:space="preserve">raised </w:t>
      </w:r>
      <w:r w:rsidR="00EB28D6">
        <w:t xml:space="preserve">our </w:t>
      </w:r>
      <w:r w:rsidR="00D03732">
        <w:t>near-term forecast</w:t>
      </w:r>
      <w:r w:rsidR="00EB28D6">
        <w:t xml:space="preserve"> </w:t>
      </w:r>
      <w:r w:rsidR="00B3024A">
        <w:t xml:space="preserve">and now </w:t>
      </w:r>
      <w:r w:rsidR="00872552">
        <w:t xml:space="preserve">expect CPI inflation to average </w:t>
      </w:r>
      <w:r w:rsidR="00953695">
        <w:t>2.5</w:t>
      </w:r>
      <w:r w:rsidR="00872552">
        <w:t xml:space="preserve">% in 2024, </w:t>
      </w:r>
      <w:r w:rsidR="00953695">
        <w:t xml:space="preserve">0.2ppts </w:t>
      </w:r>
      <w:r w:rsidR="003D3691">
        <w:t xml:space="preserve">higher than in </w:t>
      </w:r>
      <w:r w:rsidR="00953695">
        <w:t>last month</w:t>
      </w:r>
      <w:r w:rsidR="00B4161F">
        <w:t>'s forecast</w:t>
      </w:r>
      <w:r w:rsidR="00F141B4">
        <w:t>.</w:t>
      </w:r>
    </w:p>
    <w:p w14:paraId="59470EE7" w14:textId="58F989E0" w:rsidR="00431985" w:rsidRDefault="002845C2" w:rsidP="00431985">
      <w:r>
        <w:t>Nevertheless</w:t>
      </w:r>
      <w:r w:rsidR="001A18CE">
        <w:t>, we should</w:t>
      </w:r>
      <w:r>
        <w:t xml:space="preserve"> still</w:t>
      </w:r>
      <w:r w:rsidR="001A18CE">
        <w:t xml:space="preserve"> see </w:t>
      </w:r>
      <w:r w:rsidR="00B4714F">
        <w:t xml:space="preserve">headline inflation returning to the Bank of England's 2% target in </w:t>
      </w:r>
      <w:r w:rsidR="00766FEC">
        <w:t xml:space="preserve">May then </w:t>
      </w:r>
      <w:r w:rsidR="00C3023D">
        <w:t>stay</w:t>
      </w:r>
      <w:r w:rsidR="00842E48">
        <w:t>ing</w:t>
      </w:r>
      <w:r w:rsidR="005271ED">
        <w:t xml:space="preserve"> close to that rate for the rest of the year</w:t>
      </w:r>
      <w:r w:rsidR="0091599D">
        <w:t xml:space="preserve">. </w:t>
      </w:r>
      <w:r w:rsidR="009347C4">
        <w:t xml:space="preserve">Base effects will continue to exert downward pressure on y/y inflation rates in the near-term. </w:t>
      </w:r>
      <w:r w:rsidR="00491B5D">
        <w:t>Ofgem</w:t>
      </w:r>
      <w:r w:rsidR="00002E1F">
        <w:t xml:space="preserve"> is due to announce July</w:t>
      </w:r>
      <w:r w:rsidR="00491B5D">
        <w:t>'s</w:t>
      </w:r>
      <w:r w:rsidR="00B86941">
        <w:t xml:space="preserve"> energy price cap </w:t>
      </w:r>
      <w:r w:rsidR="00002E1F">
        <w:t xml:space="preserve">on Friday, </w:t>
      </w:r>
      <w:r w:rsidR="00766FEC">
        <w:t xml:space="preserve">and movements in wholesale gas prices </w:t>
      </w:r>
      <w:r w:rsidR="005271ED">
        <w:t>suggest</w:t>
      </w:r>
      <w:r w:rsidR="00766FEC">
        <w:t xml:space="preserve"> the cap </w:t>
      </w:r>
      <w:r w:rsidR="005271ED">
        <w:t>will</w:t>
      </w:r>
      <w:r w:rsidR="00766FEC">
        <w:t xml:space="preserve"> be cut by</w:t>
      </w:r>
      <w:r w:rsidR="00B86941">
        <w:t xml:space="preserve"> </w:t>
      </w:r>
      <w:r w:rsidR="00C70E02">
        <w:t xml:space="preserve">around </w:t>
      </w:r>
      <w:r w:rsidR="00B86941">
        <w:t xml:space="preserve">6%. </w:t>
      </w:r>
      <w:r w:rsidR="00ED79A2">
        <w:t>Food inflation is likely</w:t>
      </w:r>
      <w:r w:rsidR="004D4162">
        <w:t xml:space="preserve"> to</w:t>
      </w:r>
      <w:r w:rsidR="00ED79A2">
        <w:t xml:space="preserve"> </w:t>
      </w:r>
      <w:r w:rsidR="009A4BCA">
        <w:t>ease further</w:t>
      </w:r>
      <w:r w:rsidR="00ED79A2">
        <w:t xml:space="preserve"> </w:t>
      </w:r>
      <w:r w:rsidR="006C45EA">
        <w:t xml:space="preserve">as </w:t>
      </w:r>
      <w:r w:rsidR="00F75551">
        <w:t xml:space="preserve">producer input costs </w:t>
      </w:r>
      <w:r w:rsidR="00B86941">
        <w:t xml:space="preserve">in the sector </w:t>
      </w:r>
      <w:r w:rsidR="00285DEF">
        <w:t>continue to fall</w:t>
      </w:r>
      <w:r w:rsidR="00B86941">
        <w:t xml:space="preserve">. Meanwhile, </w:t>
      </w:r>
      <w:r w:rsidR="00176A9D">
        <w:t xml:space="preserve">we think </w:t>
      </w:r>
      <w:r w:rsidR="004D4062">
        <w:t xml:space="preserve">the </w:t>
      </w:r>
      <w:hyperlink r:id="rId8" w:history="1">
        <w:r w:rsidR="004D4062" w:rsidRPr="00357E64">
          <w:rPr>
            <w:rStyle w:val="Hyperlink"/>
          </w:rPr>
          <w:t xml:space="preserve">indirect effects </w:t>
        </w:r>
        <w:r w:rsidR="00D041D6" w:rsidRPr="00357E64">
          <w:rPr>
            <w:rStyle w:val="Hyperlink"/>
          </w:rPr>
          <w:t>of lower energy prices</w:t>
        </w:r>
      </w:hyperlink>
      <w:r w:rsidR="00D041D6">
        <w:t xml:space="preserve"> </w:t>
      </w:r>
      <w:r w:rsidR="009A4BCA">
        <w:t xml:space="preserve">will </w:t>
      </w:r>
      <w:r w:rsidR="00176A9D">
        <w:t xml:space="preserve">start to drag on </w:t>
      </w:r>
      <w:r w:rsidR="00D041D6">
        <w:t>core goods and services inflation</w:t>
      </w:r>
      <w:r w:rsidR="00176A9D">
        <w:t xml:space="preserve"> more significantly soon.</w:t>
      </w:r>
    </w:p>
    <w:p w14:paraId="17B4FAC1" w14:textId="2C2659E2" w:rsidR="00F65944" w:rsidRDefault="00F65944" w:rsidP="00431985">
      <w:pPr>
        <w:pStyle w:val="ExhibitTitle"/>
        <w:jc w:val="center"/>
      </w:pPr>
      <w:r>
        <w:t xml:space="preserve">Chart </w:t>
      </w:r>
      <w:r>
        <w:fldChar w:fldCharType="begin"/>
      </w:r>
      <w:r w:rsidR="000E718F">
        <w:instrText>SEQ CHART</w:instrText>
      </w:r>
      <w:r>
        <w:fldChar w:fldCharType="separate"/>
      </w:r>
      <w:r w:rsidR="000E718F">
        <w:rPr>
          <w:noProof/>
        </w:rPr>
        <w:t>1</w:t>
      </w:r>
      <w:r>
        <w:fldChar w:fldCharType="end"/>
      </w:r>
      <w:r>
        <w:t xml:space="preserve">: </w:t>
      </w:r>
      <w:r w:rsidR="00820C2E">
        <w:t xml:space="preserve">Higher annual price hikes in core categories </w:t>
      </w:r>
      <w:r w:rsidR="00F5597F">
        <w:t>have raised our 2024 inflation forecast to 2.5%</w:t>
      </w:r>
    </w:p>
    <w:p w14:paraId="4655CE38" w14:textId="5BBC5488" w:rsidR="00431985" w:rsidRDefault="00431985" w:rsidP="00431985">
      <w:pPr>
        <w:spacing w:after="0"/>
        <w:jc w:val="center"/>
      </w:pPr>
      <w:r>
        <w:rPr>
          <w:noProof/>
        </w:rPr>
        <w:drawing>
          <wp:inline distT="0" distB="0" distL="0" distR="0" wp14:anchorId="6303CF81" wp14:editId="5E46B4EA">
            <wp:extent cx="4006964" cy="31454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F086" w14:textId="2A5EF044" w:rsidR="00673B00" w:rsidRDefault="00431985" w:rsidP="00431985">
      <w:pPr>
        <w:pStyle w:val="ExhibitSource"/>
        <w:jc w:val="center"/>
      </w:pPr>
      <w:r>
        <w:t>Source: Oxford Economics, Haver Analytics</w:t>
      </w:r>
    </w:p>
    <w:p w14:paraId="2CEED165" w14:textId="77777777" w:rsidR="004B635E" w:rsidRPr="004B635E" w:rsidRDefault="004B635E" w:rsidP="00525CD0"/>
    <w:sectPr w:rsidR="004B635E" w:rsidRPr="004B635E" w:rsidSect="00431985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A24E3" w14:textId="77777777" w:rsidR="004900A7" w:rsidRDefault="004900A7" w:rsidP="00F65944">
      <w:pPr>
        <w:spacing w:before="0" w:after="0"/>
      </w:pPr>
      <w:r>
        <w:separator/>
      </w:r>
    </w:p>
  </w:endnote>
  <w:endnote w:type="continuationSeparator" w:id="0">
    <w:p w14:paraId="04BB12EC" w14:textId="77777777" w:rsidR="004900A7" w:rsidRDefault="004900A7" w:rsidP="00F659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13997" w14:textId="51D6BF6B" w:rsidR="00F65944" w:rsidRDefault="00F65944" w:rsidP="00F65944">
    <w:pPr>
      <w:pStyle w:val="Author"/>
    </w:pPr>
    <w:r>
      <w:t>Edward Allenby</w:t>
    </w:r>
    <w:r w:rsidR="00525CD0">
      <w:t xml:space="preserve"> - </w:t>
    </w:r>
    <w:r>
      <w:t>UK Economist</w:t>
    </w:r>
    <w:r w:rsidR="00525CD0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B0A0A" w14:textId="77777777" w:rsidR="004900A7" w:rsidRDefault="004900A7" w:rsidP="00F65944">
      <w:pPr>
        <w:spacing w:before="0" w:after="0"/>
      </w:pPr>
      <w:r>
        <w:separator/>
      </w:r>
    </w:p>
  </w:footnote>
  <w:footnote w:type="continuationSeparator" w:id="0">
    <w:p w14:paraId="5F6D779B" w14:textId="77777777" w:rsidR="004900A7" w:rsidRDefault="004900A7" w:rsidP="00F659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57ADA" w14:textId="77777777" w:rsidR="00F65944" w:rsidRDefault="00F65944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B59B6" w14:textId="77777777" w:rsidR="00F65944" w:rsidRDefault="00F65944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D26DE" w14:textId="77777777" w:rsidR="00F65944" w:rsidRDefault="00F65944" w:rsidP="00F65944">
    <w:r w:rsidRPr="00F65944">
      <w:rPr>
        <w:noProof/>
      </w:rPr>
      <w:drawing>
        <wp:anchor distT="0" distB="0" distL="114300" distR="114300" simplePos="0" relativeHeight="251659264" behindDoc="1" locked="1" layoutInCell="1" allowOverlap="1" wp14:anchorId="38C5566C" wp14:editId="05914FEB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64233803"/>
      <w:lock w:val="sdtLocked"/>
      <w:placeholder>
        <w:docPart w:val="DefaultPlaceholder_-1854013437"/>
      </w:placeholder>
      <w:date w:fullDate="2024-05-22T00:00:00Z">
        <w:dateFormat w:val="d MMMM yyyy"/>
        <w:lid w:val="en-GB"/>
        <w:storeMappedDataAs w:val="dateTime"/>
        <w:calendar w:val="gregorian"/>
      </w:date>
    </w:sdtPr>
    <w:sdtEndPr/>
    <w:sdtContent>
      <w:p w14:paraId="0358E526" w14:textId="77777777" w:rsidR="00F65944" w:rsidRDefault="00F65944" w:rsidP="00F65944">
        <w:pPr>
          <w:pStyle w:val="PublishDate"/>
          <w:framePr w:w="2835" w:h="340" w:hRule="exact" w:hSpace="180" w:wrap="around" w:vAnchor="page" w:hAnchor="page" w:x="7801" w:y="601" w:anchorLock="1"/>
        </w:pPr>
        <w:r>
          <w:t>22 May 2024</w:t>
        </w:r>
      </w:p>
    </w:sdtContent>
  </w:sdt>
  <w:p w14:paraId="045B95C3" w14:textId="42033CD7" w:rsidR="00F65944" w:rsidRDefault="000E718F" w:rsidP="00F65944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</w:t>
    </w:r>
    <w:r w:rsidR="00F65944">
      <w:t xml:space="preserve"> | UK</w:t>
    </w:r>
  </w:p>
  <w:p w14:paraId="488CFABC" w14:textId="38416F72" w:rsidR="00F65944" w:rsidRDefault="009F581D" w:rsidP="00F65944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Stubborn</w:t>
    </w:r>
    <w:r w:rsidR="001017C3">
      <w:t xml:space="preserve"> services prices </w:t>
    </w:r>
    <w:r w:rsidR="006218FD">
      <w:t>raise</w:t>
    </w:r>
    <w:r w:rsidR="001017C3">
      <w:t xml:space="preserve"> 2024 inflation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802974">
    <w:abstractNumId w:val="34"/>
  </w:num>
  <w:num w:numId="2" w16cid:durableId="800882569">
    <w:abstractNumId w:val="24"/>
  </w:num>
  <w:num w:numId="3" w16cid:durableId="124472840">
    <w:abstractNumId w:val="26"/>
  </w:num>
  <w:num w:numId="4" w16cid:durableId="1455363391">
    <w:abstractNumId w:val="19"/>
  </w:num>
  <w:num w:numId="5" w16cid:durableId="1269119732">
    <w:abstractNumId w:val="21"/>
  </w:num>
  <w:num w:numId="6" w16cid:durableId="1958876897">
    <w:abstractNumId w:val="28"/>
  </w:num>
  <w:num w:numId="7" w16cid:durableId="1684698223">
    <w:abstractNumId w:val="42"/>
  </w:num>
  <w:num w:numId="8" w16cid:durableId="543714377">
    <w:abstractNumId w:val="15"/>
  </w:num>
  <w:num w:numId="9" w16cid:durableId="2145148334">
    <w:abstractNumId w:val="43"/>
  </w:num>
  <w:num w:numId="10" w16cid:durableId="566962307">
    <w:abstractNumId w:val="12"/>
  </w:num>
  <w:num w:numId="11" w16cid:durableId="1681816126">
    <w:abstractNumId w:val="29"/>
  </w:num>
  <w:num w:numId="12" w16cid:durableId="1994916310">
    <w:abstractNumId w:val="39"/>
  </w:num>
  <w:num w:numId="13" w16cid:durableId="787892166">
    <w:abstractNumId w:val="17"/>
  </w:num>
  <w:num w:numId="14" w16cid:durableId="704910746">
    <w:abstractNumId w:val="46"/>
  </w:num>
  <w:num w:numId="15" w16cid:durableId="1689258444">
    <w:abstractNumId w:val="35"/>
  </w:num>
  <w:num w:numId="16" w16cid:durableId="86267611">
    <w:abstractNumId w:val="32"/>
  </w:num>
  <w:num w:numId="17" w16cid:durableId="1756632669">
    <w:abstractNumId w:val="18"/>
  </w:num>
  <w:num w:numId="18" w16cid:durableId="283585811">
    <w:abstractNumId w:val="16"/>
  </w:num>
  <w:num w:numId="19" w16cid:durableId="2052342949">
    <w:abstractNumId w:val="47"/>
  </w:num>
  <w:num w:numId="20" w16cid:durableId="568076641">
    <w:abstractNumId w:val="48"/>
  </w:num>
  <w:num w:numId="21" w16cid:durableId="499203570">
    <w:abstractNumId w:val="9"/>
  </w:num>
  <w:num w:numId="22" w16cid:durableId="496312929">
    <w:abstractNumId w:val="7"/>
  </w:num>
  <w:num w:numId="23" w16cid:durableId="168302476">
    <w:abstractNumId w:val="6"/>
  </w:num>
  <w:num w:numId="24" w16cid:durableId="62025526">
    <w:abstractNumId w:val="5"/>
  </w:num>
  <w:num w:numId="25" w16cid:durableId="937563333">
    <w:abstractNumId w:val="4"/>
  </w:num>
  <w:num w:numId="26" w16cid:durableId="168569523">
    <w:abstractNumId w:val="8"/>
  </w:num>
  <w:num w:numId="27" w16cid:durableId="1612933740">
    <w:abstractNumId w:val="3"/>
  </w:num>
  <w:num w:numId="28" w16cid:durableId="1845051868">
    <w:abstractNumId w:val="2"/>
  </w:num>
  <w:num w:numId="29" w16cid:durableId="1444426152">
    <w:abstractNumId w:val="1"/>
  </w:num>
  <w:num w:numId="30" w16cid:durableId="675613745">
    <w:abstractNumId w:val="0"/>
  </w:num>
  <w:num w:numId="31" w16cid:durableId="1458450768">
    <w:abstractNumId w:val="40"/>
  </w:num>
  <w:num w:numId="32" w16cid:durableId="1982033534">
    <w:abstractNumId w:val="45"/>
  </w:num>
  <w:num w:numId="33" w16cid:durableId="591743558">
    <w:abstractNumId w:val="20"/>
  </w:num>
  <w:num w:numId="34" w16cid:durableId="439883090">
    <w:abstractNumId w:val="23"/>
  </w:num>
  <w:num w:numId="35" w16cid:durableId="683287003">
    <w:abstractNumId w:val="14"/>
  </w:num>
  <w:num w:numId="36" w16cid:durableId="86660749">
    <w:abstractNumId w:val="31"/>
  </w:num>
  <w:num w:numId="37" w16cid:durableId="651249749">
    <w:abstractNumId w:val="13"/>
  </w:num>
  <w:num w:numId="38" w16cid:durableId="875508659">
    <w:abstractNumId w:val="30"/>
  </w:num>
  <w:num w:numId="39" w16cid:durableId="285309795">
    <w:abstractNumId w:val="27"/>
  </w:num>
  <w:num w:numId="40" w16cid:durableId="1350329007">
    <w:abstractNumId w:val="38"/>
  </w:num>
  <w:num w:numId="41" w16cid:durableId="372927343">
    <w:abstractNumId w:val="22"/>
  </w:num>
  <w:num w:numId="42" w16cid:durableId="1504707194">
    <w:abstractNumId w:val="33"/>
  </w:num>
  <w:num w:numId="43" w16cid:durableId="810558897">
    <w:abstractNumId w:val="36"/>
  </w:num>
  <w:num w:numId="44" w16cid:durableId="987321390">
    <w:abstractNumId w:val="11"/>
  </w:num>
  <w:num w:numId="45" w16cid:durableId="2074311132">
    <w:abstractNumId w:val="11"/>
    <w:lvlOverride w:ilvl="0">
      <w:startOverride w:val="1"/>
    </w:lvlOverride>
  </w:num>
  <w:num w:numId="46" w16cid:durableId="843207859">
    <w:abstractNumId w:val="44"/>
  </w:num>
  <w:num w:numId="47" w16cid:durableId="491065320">
    <w:abstractNumId w:val="41"/>
  </w:num>
  <w:num w:numId="48" w16cid:durableId="1685206620">
    <w:abstractNumId w:val="37"/>
  </w:num>
  <w:num w:numId="49" w16cid:durableId="558058541">
    <w:abstractNumId w:val="25"/>
  </w:num>
  <w:num w:numId="50" w16cid:durableId="506093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44"/>
    <w:rsid w:val="00002E1F"/>
    <w:rsid w:val="00004AAF"/>
    <w:rsid w:val="0002500C"/>
    <w:rsid w:val="00043544"/>
    <w:rsid w:val="0008439F"/>
    <w:rsid w:val="000B3C93"/>
    <w:rsid w:val="000E718F"/>
    <w:rsid w:val="001017C3"/>
    <w:rsid w:val="0014402B"/>
    <w:rsid w:val="001453C9"/>
    <w:rsid w:val="00160A2F"/>
    <w:rsid w:val="00176A9D"/>
    <w:rsid w:val="001A18CE"/>
    <w:rsid w:val="001A7AB5"/>
    <w:rsid w:val="0022382B"/>
    <w:rsid w:val="00235C14"/>
    <w:rsid w:val="00265F43"/>
    <w:rsid w:val="002845C2"/>
    <w:rsid w:val="00285DEF"/>
    <w:rsid w:val="002E6BE5"/>
    <w:rsid w:val="00312763"/>
    <w:rsid w:val="003170D7"/>
    <w:rsid w:val="0033726F"/>
    <w:rsid w:val="00343FC9"/>
    <w:rsid w:val="00357299"/>
    <w:rsid w:val="00357E64"/>
    <w:rsid w:val="0036522C"/>
    <w:rsid w:val="003962F6"/>
    <w:rsid w:val="003C5D34"/>
    <w:rsid w:val="003D3691"/>
    <w:rsid w:val="00431985"/>
    <w:rsid w:val="00470198"/>
    <w:rsid w:val="004900A7"/>
    <w:rsid w:val="00491B5D"/>
    <w:rsid w:val="00496AF2"/>
    <w:rsid w:val="004A7576"/>
    <w:rsid w:val="004B635E"/>
    <w:rsid w:val="004D1314"/>
    <w:rsid w:val="004D4062"/>
    <w:rsid w:val="004D4162"/>
    <w:rsid w:val="004D7643"/>
    <w:rsid w:val="004E0986"/>
    <w:rsid w:val="00500AF6"/>
    <w:rsid w:val="00516B84"/>
    <w:rsid w:val="00525CD0"/>
    <w:rsid w:val="005271ED"/>
    <w:rsid w:val="00596DE2"/>
    <w:rsid w:val="005D35F7"/>
    <w:rsid w:val="005F56D3"/>
    <w:rsid w:val="006135DF"/>
    <w:rsid w:val="006218FD"/>
    <w:rsid w:val="0066100C"/>
    <w:rsid w:val="00671DCC"/>
    <w:rsid w:val="006722DB"/>
    <w:rsid w:val="00673B00"/>
    <w:rsid w:val="006C45EA"/>
    <w:rsid w:val="00715A82"/>
    <w:rsid w:val="007427D2"/>
    <w:rsid w:val="00761177"/>
    <w:rsid w:val="00766FEC"/>
    <w:rsid w:val="00770DEF"/>
    <w:rsid w:val="00783CE4"/>
    <w:rsid w:val="0078440B"/>
    <w:rsid w:val="007A120D"/>
    <w:rsid w:val="007F395E"/>
    <w:rsid w:val="00812B8E"/>
    <w:rsid w:val="00814B90"/>
    <w:rsid w:val="00820C2E"/>
    <w:rsid w:val="00830803"/>
    <w:rsid w:val="00842E48"/>
    <w:rsid w:val="008524F5"/>
    <w:rsid w:val="00872552"/>
    <w:rsid w:val="00873FE5"/>
    <w:rsid w:val="00893F19"/>
    <w:rsid w:val="0089527F"/>
    <w:rsid w:val="008A49DA"/>
    <w:rsid w:val="008D094E"/>
    <w:rsid w:val="008D2D7F"/>
    <w:rsid w:val="008D48B5"/>
    <w:rsid w:val="008E0790"/>
    <w:rsid w:val="008E089C"/>
    <w:rsid w:val="009131D0"/>
    <w:rsid w:val="0091599D"/>
    <w:rsid w:val="009204AE"/>
    <w:rsid w:val="00932C3D"/>
    <w:rsid w:val="009347C4"/>
    <w:rsid w:val="00943525"/>
    <w:rsid w:val="00953695"/>
    <w:rsid w:val="009963E9"/>
    <w:rsid w:val="009A4BCA"/>
    <w:rsid w:val="009C7A7D"/>
    <w:rsid w:val="009F581D"/>
    <w:rsid w:val="00A12A41"/>
    <w:rsid w:val="00A1539D"/>
    <w:rsid w:val="00A21580"/>
    <w:rsid w:val="00A22E36"/>
    <w:rsid w:val="00A26847"/>
    <w:rsid w:val="00A62E37"/>
    <w:rsid w:val="00A643D8"/>
    <w:rsid w:val="00AF330F"/>
    <w:rsid w:val="00B03F2A"/>
    <w:rsid w:val="00B3024A"/>
    <w:rsid w:val="00B4161F"/>
    <w:rsid w:val="00B4714F"/>
    <w:rsid w:val="00B661E0"/>
    <w:rsid w:val="00B71425"/>
    <w:rsid w:val="00B86941"/>
    <w:rsid w:val="00B9579E"/>
    <w:rsid w:val="00BB1924"/>
    <w:rsid w:val="00BB6579"/>
    <w:rsid w:val="00BE108B"/>
    <w:rsid w:val="00C101A5"/>
    <w:rsid w:val="00C15805"/>
    <w:rsid w:val="00C225B6"/>
    <w:rsid w:val="00C23593"/>
    <w:rsid w:val="00C3023D"/>
    <w:rsid w:val="00C33668"/>
    <w:rsid w:val="00C70E02"/>
    <w:rsid w:val="00C7206D"/>
    <w:rsid w:val="00C83032"/>
    <w:rsid w:val="00CE3451"/>
    <w:rsid w:val="00CF1AF8"/>
    <w:rsid w:val="00D03732"/>
    <w:rsid w:val="00D041D6"/>
    <w:rsid w:val="00D3686A"/>
    <w:rsid w:val="00D417F0"/>
    <w:rsid w:val="00D8366A"/>
    <w:rsid w:val="00DB4E44"/>
    <w:rsid w:val="00DF54FC"/>
    <w:rsid w:val="00E4784F"/>
    <w:rsid w:val="00E52BBB"/>
    <w:rsid w:val="00E70EFB"/>
    <w:rsid w:val="00E70FFC"/>
    <w:rsid w:val="00EA3164"/>
    <w:rsid w:val="00EB28D6"/>
    <w:rsid w:val="00EB2C89"/>
    <w:rsid w:val="00EC3165"/>
    <w:rsid w:val="00ED1847"/>
    <w:rsid w:val="00ED79A2"/>
    <w:rsid w:val="00F0584C"/>
    <w:rsid w:val="00F141B4"/>
    <w:rsid w:val="00F3153E"/>
    <w:rsid w:val="00F31719"/>
    <w:rsid w:val="00F32E52"/>
    <w:rsid w:val="00F5597F"/>
    <w:rsid w:val="00F65944"/>
    <w:rsid w:val="00F75551"/>
    <w:rsid w:val="00FA70AA"/>
    <w:rsid w:val="00FB511A"/>
    <w:rsid w:val="00FC51CC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3A651"/>
  <w15:chartTrackingRefBased/>
  <w15:docId w15:val="{F85839EF-B49B-4E54-980C-53C732A7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44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944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65944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944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5944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F659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F6594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F6594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F6594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F659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F6594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594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594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594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65944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5944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5944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65944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65944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44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44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44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44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F65944"/>
    <w:rPr>
      <w:noProof w:val="0"/>
    </w:rPr>
  </w:style>
  <w:style w:type="character" w:styleId="Hyperlink">
    <w:name w:val="Hyperlink"/>
    <w:basedOn w:val="DefaultParagraphFont"/>
    <w:uiPriority w:val="99"/>
    <w:unhideWhenUsed/>
    <w:rsid w:val="00F65944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F65944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F65944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F65944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F65944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F65944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F65944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F65944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F65944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F65944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F65944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65944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44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F65944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F65944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F65944"/>
    <w:pPr>
      <w:numPr>
        <w:numId w:val="34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F65944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F65944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F65944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F65944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F65944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F65944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F65944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594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F65944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F65944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F65944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F65944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F65944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F65944"/>
    <w:rPr>
      <w:b/>
      <w:bCs/>
      <w:noProof w:val="0"/>
    </w:rPr>
  </w:style>
  <w:style w:type="character" w:customStyle="1" w:styleId="Italics">
    <w:name w:val="Italics"/>
    <w:uiPriority w:val="1"/>
    <w:qFormat/>
    <w:rsid w:val="00F65944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F65944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xfordeconomics.com/reportaction/5d9262E93c3545Bc88b702/Toc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1204fe5d56154A7fb732B3/Toc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A4A6B-F328-4201-9968-5BEBF5ABEC31}"/>
      </w:docPartPr>
      <w:docPartBody>
        <w:p w:rsidR="00256993" w:rsidRDefault="00DA76AA">
          <w:r w:rsidRPr="00087249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AA"/>
    <w:rsid w:val="0015612E"/>
    <w:rsid w:val="00256993"/>
    <w:rsid w:val="00280EB6"/>
    <w:rsid w:val="00DA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449</Words>
  <Characters>2250</Characters>
  <Application>Microsoft Office Word</Application>
  <DocSecurity>0</DocSecurity>
  <Lines>29</Lines>
  <Paragraphs>8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36</cp:revision>
  <dcterms:created xsi:type="dcterms:W3CDTF">2024-05-22T11:01:00Z</dcterms:created>
  <dcterms:modified xsi:type="dcterms:W3CDTF">2024-05-22T11:33:00Z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v0.8.0.7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2024-05-22T11:29:28.000Z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v0.8.0.7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Model\20240522 UK IF.xlsx</vt:lpwstr>
  </property>
  <property fmtid="{D5CDD505-2E9C-101B-9397-08002B2CF9AE}" pid="17" name="OEP_PRODUCT_CODE">
    <vt:lpwstr>c3aBa55065EB4EAf94E9E1</vt:lpwstr>
  </property>
  <property fmtid="{D5CDD505-2E9C-101B-9397-08002B2CF9AE}" pid="18" name="OEP_PUBLISH_DATE">
    <vt:lpwstr/>
  </property>
</Properties>
</file>