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65EFF" w14:textId="191A8E62" w:rsidR="008368E1" w:rsidRDefault="006750E5" w:rsidP="008368E1">
      <w:pPr>
        <w:pStyle w:val="Bullet"/>
      </w:pPr>
      <w:r>
        <w:t>The slowdown in UK CPI inflation in May was broadly as expected</w:t>
      </w:r>
      <w:r w:rsidR="00497669">
        <w:t xml:space="preserve">. We </w:t>
      </w:r>
      <w:r w:rsidR="00695108">
        <w:t>think</w:t>
      </w:r>
      <w:r w:rsidR="00497669">
        <w:t xml:space="preserve"> headline inflation </w:t>
      </w:r>
      <w:r w:rsidR="00695108">
        <w:t>will</w:t>
      </w:r>
      <w:r w:rsidR="00497669">
        <w:t xml:space="preserve"> stabilise around the 2% mark in the </w:t>
      </w:r>
      <w:r w:rsidR="00B71050">
        <w:t>next few months</w:t>
      </w:r>
      <w:r w:rsidR="00497669">
        <w:t xml:space="preserve"> as downward pressure from the food and services categories is offset by base effects in the energy component. </w:t>
      </w:r>
    </w:p>
    <w:p w14:paraId="48B71B0D" w14:textId="5358EA0B" w:rsidR="008368E1" w:rsidRDefault="006750E5" w:rsidP="008368E1">
      <w:pPr>
        <w:pStyle w:val="Bullet"/>
      </w:pPr>
      <w:r>
        <w:t>But the recent uptick in wholesale gas prices mean</w:t>
      </w:r>
      <w:r w:rsidR="009E1501">
        <w:t>s</w:t>
      </w:r>
      <w:r>
        <w:t xml:space="preserve"> we now think the energy category will weigh less heavily on headline inflation </w:t>
      </w:r>
      <w:r w:rsidR="00B85F4B">
        <w:t>around the turn of the year</w:t>
      </w:r>
      <w:r>
        <w:t xml:space="preserve">. So though we still expect CPI inflation </w:t>
      </w:r>
      <w:r w:rsidR="00145FFA">
        <w:t>to</w:t>
      </w:r>
      <w:r>
        <w:t xml:space="preserve"> average 2.5% in 2024, we have raised our 2025 forecast to </w:t>
      </w:r>
      <w:r w:rsidR="00B85F4B">
        <w:t>2.5%</w:t>
      </w:r>
      <w:r>
        <w:t xml:space="preserve">, from 2.3% last month. </w:t>
      </w:r>
    </w:p>
    <w:p w14:paraId="58FADC11" w14:textId="50D46A11" w:rsidR="00B83D72" w:rsidRDefault="00712C88" w:rsidP="008368E1">
      <w:r>
        <w:t xml:space="preserve">In line with </w:t>
      </w:r>
      <w:hyperlink r:id="rId7" w:history="1">
        <w:r w:rsidRPr="006B20B1">
          <w:rPr>
            <w:rStyle w:val="Hyperlink"/>
          </w:rPr>
          <w:t>our forecast</w:t>
        </w:r>
      </w:hyperlink>
      <w:r>
        <w:t xml:space="preserve">, CPI inflation fell to 2% in May from 2.3% in April. </w:t>
      </w:r>
      <w:r w:rsidR="006B20B1">
        <w:t xml:space="preserve">May's softer headline rate reflected </w:t>
      </w:r>
      <w:r w:rsidR="001269E2">
        <w:t>lower</w:t>
      </w:r>
      <w:r w:rsidR="006B20B1">
        <w:t xml:space="preserve"> contributions from the food and core categories, due to the combination of base effects and </w:t>
      </w:r>
      <w:r w:rsidR="00496119">
        <w:t xml:space="preserve">companies passing on their </w:t>
      </w:r>
      <w:r w:rsidR="006B20B1">
        <w:t xml:space="preserve"> lower energy </w:t>
      </w:r>
      <w:r w:rsidR="00496119">
        <w:t>costs</w:t>
      </w:r>
      <w:r w:rsidR="00447A96">
        <w:t xml:space="preserve"> </w:t>
      </w:r>
      <w:r w:rsidR="00496119">
        <w:t>to</w:t>
      </w:r>
      <w:r w:rsidR="00447A96">
        <w:t xml:space="preserve"> consumer</w:t>
      </w:r>
      <w:r w:rsidR="00496119">
        <w:t>s</w:t>
      </w:r>
      <w:r w:rsidR="00447A96">
        <w:t>.</w:t>
      </w:r>
      <w:r w:rsidR="006D5C2A">
        <w:t xml:space="preserve"> Services inflation slowed to 5.7% from 5.9% in April. Though this was a slightly smaller decline than we had expected, this partly reflected an unusual rise in air fares </w:t>
      </w:r>
      <w:r w:rsidR="006D5C2A" w:rsidRPr="006D5C2A">
        <w:t>– a notoriously erratic category</w:t>
      </w:r>
      <w:r w:rsidR="006D5C2A">
        <w:t xml:space="preserve"> </w:t>
      </w:r>
      <w:r w:rsidR="006D5C2A" w:rsidRPr="006D5C2A">
        <w:t>–</w:t>
      </w:r>
      <w:r w:rsidR="006D5C2A">
        <w:t xml:space="preserve"> which should unwind in next month's release.</w:t>
      </w:r>
      <w:r w:rsidR="00447A96">
        <w:t xml:space="preserve"> </w:t>
      </w:r>
      <w:r w:rsidR="008A347E">
        <w:t>RPI and RPIX inflation fell to 3% and 1.9% respectively in May, from 3.3% and 2.3% in April.</w:t>
      </w:r>
    </w:p>
    <w:p w14:paraId="733FDD55" w14:textId="6B53272E" w:rsidR="00DA7485" w:rsidRDefault="009E1501" w:rsidP="009E1501">
      <w:r>
        <w:t>The recent increase in gas futures prices, together with a slightly higher assumption for wholesale gas prices moving forward, means we now think</w:t>
      </w:r>
      <w:r w:rsidR="004D5678">
        <w:t xml:space="preserve"> that the energy category will weigh less heavily on headline inflation </w:t>
      </w:r>
      <w:r w:rsidR="00DA7485">
        <w:t xml:space="preserve">in late-2024 and in 2025. Therefore, though we still expect CPI inflation to average 2.5% in 2024, we have now raised our 2025 </w:t>
      </w:r>
      <w:r w:rsidR="00C34C5F">
        <w:t>projection</w:t>
      </w:r>
      <w:r w:rsidR="00DA7485">
        <w:t xml:space="preserve"> to 2.5% too, 0.2ppts higher than last month's </w:t>
      </w:r>
      <w:r w:rsidR="00C34C5F">
        <w:t>forecast</w:t>
      </w:r>
      <w:r w:rsidR="00DA7485">
        <w:t>.</w:t>
      </w:r>
    </w:p>
    <w:p w14:paraId="0E3DFBED" w14:textId="1AC3D13F" w:rsidR="00B96E24" w:rsidRDefault="00705B0A" w:rsidP="00B83D72">
      <w:r>
        <w:t xml:space="preserve">Price pressures in the food and services sectors should continue to fade as </w:t>
      </w:r>
      <w:r w:rsidR="00934D07">
        <w:t xml:space="preserve">further </w:t>
      </w:r>
      <w:r>
        <w:t xml:space="preserve">base effects </w:t>
      </w:r>
      <w:r w:rsidR="00934D07">
        <w:t xml:space="preserve">come into play and firms gradually reflect their </w:t>
      </w:r>
      <w:hyperlink r:id="rId8" w:history="1">
        <w:r w:rsidR="00934D07" w:rsidRPr="006A6731">
          <w:rPr>
            <w:rStyle w:val="Hyperlink"/>
          </w:rPr>
          <w:t>lower energy costs in consumer prices</w:t>
        </w:r>
      </w:hyperlink>
      <w:r w:rsidR="00934D07">
        <w:t xml:space="preserve">. </w:t>
      </w:r>
      <w:r w:rsidR="001269E2">
        <w:t>T</w:t>
      </w:r>
      <w:r w:rsidR="00B96E24">
        <w:t xml:space="preserve">his is likely to be offset by base effects in the energy category caused by last year's sharp </w:t>
      </w:r>
      <w:r w:rsidR="009E1501">
        <w:t xml:space="preserve">price </w:t>
      </w:r>
      <w:r w:rsidR="00B96E24">
        <w:t>drops</w:t>
      </w:r>
      <w:r w:rsidR="00A40600">
        <w:t xml:space="preserve">. This </w:t>
      </w:r>
      <w:r w:rsidR="009E1501">
        <w:t>should</w:t>
      </w:r>
      <w:r w:rsidR="001269E2">
        <w:t xml:space="preserve"> keep headline inflation around the 2% mark in the </w:t>
      </w:r>
      <w:r w:rsidR="00A40600">
        <w:t>next few months</w:t>
      </w:r>
      <w:r w:rsidR="00B96E24">
        <w:t xml:space="preserve">. </w:t>
      </w:r>
      <w:r w:rsidR="001269E2">
        <w:t xml:space="preserve">But we expect the shrinking drag from the energy category </w:t>
      </w:r>
      <w:r w:rsidR="009E1501">
        <w:t>to</w:t>
      </w:r>
      <w:r w:rsidR="001269E2">
        <w:t xml:space="preserve"> start </w:t>
      </w:r>
      <w:r w:rsidR="009E1501">
        <w:t>pushing</w:t>
      </w:r>
      <w:r w:rsidR="001269E2">
        <w:t xml:space="preserve"> inflation up more noticeably towards the end of this year.</w:t>
      </w:r>
    </w:p>
    <w:p w14:paraId="371EF53F" w14:textId="3EA3F8CE" w:rsidR="008368E1" w:rsidRDefault="008368E1" w:rsidP="00B83D72">
      <w:pPr>
        <w:pStyle w:val="ExhibitTitle"/>
        <w:jc w:val="center"/>
      </w:pPr>
      <w:r>
        <w:t xml:space="preserve">Chart </w:t>
      </w:r>
      <w:r>
        <w:fldChar w:fldCharType="begin"/>
      </w:r>
      <w:r w:rsidR="00EB1FD8">
        <w:instrText>SEQ CHART</w:instrText>
      </w:r>
      <w:r>
        <w:fldChar w:fldCharType="separate"/>
      </w:r>
      <w:r w:rsidR="00EB1FD8">
        <w:rPr>
          <w:noProof/>
        </w:rPr>
        <w:t>1</w:t>
      </w:r>
      <w:r>
        <w:fldChar w:fldCharType="end"/>
      </w:r>
      <w:r>
        <w:t xml:space="preserve">: </w:t>
      </w:r>
      <w:r w:rsidR="00F235EF">
        <w:t>A higher</w:t>
      </w:r>
      <w:r w:rsidR="00565AB5">
        <w:t xml:space="preserve"> gas price</w:t>
      </w:r>
      <w:r w:rsidR="00F235EF">
        <w:t xml:space="preserve"> assumption </w:t>
      </w:r>
      <w:r w:rsidR="00565AB5">
        <w:t>ha</w:t>
      </w:r>
      <w:r w:rsidR="00F235EF">
        <w:t>s</w:t>
      </w:r>
      <w:r w:rsidR="00565AB5">
        <w:t xml:space="preserve"> raised our 2025 inflation forecast to 2.5%</w:t>
      </w:r>
    </w:p>
    <w:p w14:paraId="01CDF620" w14:textId="0DE49140" w:rsidR="00B83D72" w:rsidRDefault="00B83D72" w:rsidP="00B83D72">
      <w:pPr>
        <w:spacing w:after="0"/>
        <w:jc w:val="center"/>
      </w:pPr>
      <w:r>
        <w:rPr>
          <w:noProof/>
        </w:rPr>
        <w:drawing>
          <wp:inline distT="0" distB="0" distL="0" distR="0" wp14:anchorId="14A500B8" wp14:editId="42748D0D">
            <wp:extent cx="4006964" cy="31454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C1A1" w14:textId="4725F198" w:rsidR="00673B00" w:rsidRDefault="00B83D72" w:rsidP="00B83D72">
      <w:pPr>
        <w:pStyle w:val="ExhibitSource"/>
        <w:jc w:val="center"/>
      </w:pPr>
      <w:r>
        <w:t>Source: Oxford Economics, Haver Analytics</w:t>
      </w:r>
    </w:p>
    <w:p w14:paraId="3D124330" w14:textId="77777777" w:rsidR="00EB1FD8" w:rsidRPr="00EB1FD8" w:rsidRDefault="00EB1FD8" w:rsidP="00504BFE"/>
    <w:sectPr w:rsidR="00EB1FD8" w:rsidRPr="00EB1FD8" w:rsidSect="00B83D72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45453" w14:textId="77777777" w:rsidR="007E6D1B" w:rsidRDefault="007E6D1B" w:rsidP="008368E1">
      <w:pPr>
        <w:spacing w:before="0" w:after="0"/>
      </w:pPr>
      <w:r>
        <w:separator/>
      </w:r>
    </w:p>
  </w:endnote>
  <w:endnote w:type="continuationSeparator" w:id="0">
    <w:p w14:paraId="46928C9B" w14:textId="77777777" w:rsidR="007E6D1B" w:rsidRDefault="007E6D1B" w:rsidP="008368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87B38" w14:textId="6074BCE7" w:rsidR="008368E1" w:rsidRDefault="008368E1" w:rsidP="008368E1">
    <w:pPr>
      <w:pStyle w:val="Author"/>
    </w:pPr>
    <w:r>
      <w:t>Edward Allenby</w:t>
    </w:r>
    <w:r w:rsidR="00504BFE">
      <w:t xml:space="preserve"> - </w:t>
    </w:r>
    <w:r>
      <w:t>UK Economist</w:t>
    </w:r>
    <w:r w:rsidR="00504BFE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3E991" w14:textId="77777777" w:rsidR="007E6D1B" w:rsidRDefault="007E6D1B" w:rsidP="008368E1">
      <w:pPr>
        <w:spacing w:before="0" w:after="0"/>
      </w:pPr>
      <w:r>
        <w:separator/>
      </w:r>
    </w:p>
  </w:footnote>
  <w:footnote w:type="continuationSeparator" w:id="0">
    <w:p w14:paraId="4353BE97" w14:textId="77777777" w:rsidR="007E6D1B" w:rsidRDefault="007E6D1B" w:rsidP="008368E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282A1" w14:textId="77777777" w:rsidR="008368E1" w:rsidRDefault="008368E1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B3EAE" w14:textId="77777777" w:rsidR="008368E1" w:rsidRDefault="008368E1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DAC3E" w14:textId="77777777" w:rsidR="008368E1" w:rsidRDefault="008368E1" w:rsidP="008368E1">
    <w:r w:rsidRPr="008368E1">
      <w:rPr>
        <w:noProof/>
      </w:rPr>
      <w:drawing>
        <wp:anchor distT="0" distB="0" distL="114300" distR="114300" simplePos="0" relativeHeight="251659264" behindDoc="1" locked="1" layoutInCell="1" allowOverlap="1" wp14:anchorId="53B8E325" wp14:editId="76EED5F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1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506969394"/>
      <w:lock w:val="sdtLocked"/>
      <w:placeholder>
        <w:docPart w:val="DefaultPlaceholder_-1854013437"/>
      </w:placeholder>
      <w:date w:fullDate="2024-06-19T00:00:00Z">
        <w:dateFormat w:val="d MMMM yyyy"/>
        <w:lid w:val="en-GB"/>
        <w:storeMappedDataAs w:val="dateTime"/>
        <w:calendar w:val="gregorian"/>
      </w:date>
    </w:sdtPr>
    <w:sdtEndPr/>
    <w:sdtContent>
      <w:p w14:paraId="798579EC" w14:textId="77777777" w:rsidR="008368E1" w:rsidRDefault="008368E1" w:rsidP="008368E1">
        <w:pPr>
          <w:pStyle w:val="PublishDate"/>
          <w:framePr w:w="2835" w:h="340" w:hRule="exact" w:hSpace="180" w:wrap="around" w:vAnchor="page" w:hAnchor="page" w:x="7801" w:y="601" w:anchorLock="1"/>
        </w:pPr>
        <w:r>
          <w:t>19 June 2024</w:t>
        </w:r>
      </w:p>
    </w:sdtContent>
  </w:sdt>
  <w:p w14:paraId="10A343CE" w14:textId="77777777" w:rsidR="008368E1" w:rsidRDefault="008368E1" w:rsidP="008368E1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626CED0E" w14:textId="08C9DC3D" w:rsidR="008368E1" w:rsidRDefault="00934D07" w:rsidP="008368E1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Higher gas prices have nudged up our inflation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C288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54A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22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6EB2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C4E3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6F2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88D6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DC6C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C2E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6B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631E12"/>
    <w:multiLevelType w:val="hybridMultilevel"/>
    <w:tmpl w:val="9EB8A598"/>
    <w:lvl w:ilvl="0" w:tplc="4AA61DF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66A5E"/>
    <w:multiLevelType w:val="hybridMultilevel"/>
    <w:tmpl w:val="ACE8EDBE"/>
    <w:lvl w:ilvl="0" w:tplc="88FEDC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F32CF"/>
    <w:multiLevelType w:val="hybridMultilevel"/>
    <w:tmpl w:val="BE80DE78"/>
    <w:lvl w:ilvl="0" w:tplc="2ACE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F2819"/>
    <w:multiLevelType w:val="hybridMultilevel"/>
    <w:tmpl w:val="157C753A"/>
    <w:lvl w:ilvl="0" w:tplc="047AFB1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809A8"/>
    <w:multiLevelType w:val="hybridMultilevel"/>
    <w:tmpl w:val="5A90D112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12899"/>
    <w:multiLevelType w:val="hybridMultilevel"/>
    <w:tmpl w:val="80E44722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27C37"/>
    <w:multiLevelType w:val="hybridMultilevel"/>
    <w:tmpl w:val="2BB0871A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14A7F"/>
    <w:multiLevelType w:val="hybridMultilevel"/>
    <w:tmpl w:val="5FC0DC60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8A8"/>
    <w:multiLevelType w:val="hybridMultilevel"/>
    <w:tmpl w:val="C1EC2B32"/>
    <w:lvl w:ilvl="0" w:tplc="88E8C1B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3D4D79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2937580B"/>
    <w:multiLevelType w:val="hybridMultilevel"/>
    <w:tmpl w:val="EB047A7C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249EA"/>
    <w:multiLevelType w:val="hybridMultilevel"/>
    <w:tmpl w:val="8CAAC5DC"/>
    <w:lvl w:ilvl="0" w:tplc="9CB8E80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F448B"/>
    <w:multiLevelType w:val="hybridMultilevel"/>
    <w:tmpl w:val="7F02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C6CA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67277C7"/>
    <w:multiLevelType w:val="hybridMultilevel"/>
    <w:tmpl w:val="D158A6DA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539D0"/>
    <w:multiLevelType w:val="hybridMultilevel"/>
    <w:tmpl w:val="42541D1C"/>
    <w:lvl w:ilvl="0" w:tplc="60121A1E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FE14C4"/>
    <w:multiLevelType w:val="hybridMultilevel"/>
    <w:tmpl w:val="C9484A32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B67AD"/>
    <w:multiLevelType w:val="hybridMultilevel"/>
    <w:tmpl w:val="44E8EBD6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C682A"/>
    <w:multiLevelType w:val="hybridMultilevel"/>
    <w:tmpl w:val="9EE8CC52"/>
    <w:lvl w:ilvl="0" w:tplc="797642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541FD"/>
    <w:multiLevelType w:val="hybridMultilevel"/>
    <w:tmpl w:val="9574031A"/>
    <w:lvl w:ilvl="0" w:tplc="3C4A3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C224E"/>
    <w:multiLevelType w:val="hybridMultilevel"/>
    <w:tmpl w:val="656E90C8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D3B55"/>
    <w:multiLevelType w:val="hybridMultilevel"/>
    <w:tmpl w:val="DF6E0320"/>
    <w:lvl w:ilvl="0" w:tplc="EE083EF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714373"/>
    <w:multiLevelType w:val="hybridMultilevel"/>
    <w:tmpl w:val="C314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62A0F"/>
    <w:multiLevelType w:val="hybridMultilevel"/>
    <w:tmpl w:val="62FAAB68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775CD"/>
    <w:multiLevelType w:val="hybridMultilevel"/>
    <w:tmpl w:val="6B0E6210"/>
    <w:lvl w:ilvl="0" w:tplc="6AA6C1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34573"/>
    <w:multiLevelType w:val="multilevel"/>
    <w:tmpl w:val="B352DD0C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71A5AA8"/>
    <w:multiLevelType w:val="hybridMultilevel"/>
    <w:tmpl w:val="53EE3E6E"/>
    <w:lvl w:ilvl="0" w:tplc="1C6A6FC0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A20213"/>
    <w:multiLevelType w:val="hybridMultilevel"/>
    <w:tmpl w:val="8E3294BA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321EE"/>
    <w:multiLevelType w:val="hybridMultilevel"/>
    <w:tmpl w:val="B3986AB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1" w15:restartNumberingAfterBreak="0">
    <w:nsid w:val="646D6F89"/>
    <w:multiLevelType w:val="hybridMultilevel"/>
    <w:tmpl w:val="3602343A"/>
    <w:lvl w:ilvl="0" w:tplc="B3C29B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843C1"/>
    <w:multiLevelType w:val="hybridMultilevel"/>
    <w:tmpl w:val="EC5AE4DA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13A18"/>
    <w:multiLevelType w:val="hybridMultilevel"/>
    <w:tmpl w:val="FB104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6FB00AB4"/>
    <w:multiLevelType w:val="hybridMultilevel"/>
    <w:tmpl w:val="A8CC42E2"/>
    <w:lvl w:ilvl="0" w:tplc="71A6902E">
      <w:start w:val="1"/>
      <w:numFmt w:val="bullet"/>
      <w:lvlRestart w:val="0"/>
      <w:lvlText w:val=""/>
      <w:lvlJc w:val="left"/>
      <w:pPr>
        <w:ind w:left="436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6" w15:restartNumberingAfterBreak="0">
    <w:nsid w:val="6FE038AD"/>
    <w:multiLevelType w:val="hybridMultilevel"/>
    <w:tmpl w:val="2C2026B0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473CBD"/>
    <w:multiLevelType w:val="hybridMultilevel"/>
    <w:tmpl w:val="CE008BB4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1E78D7"/>
    <w:multiLevelType w:val="hybridMultilevel"/>
    <w:tmpl w:val="250EEE86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896146">
    <w:abstractNumId w:val="34"/>
  </w:num>
  <w:num w:numId="2" w16cid:durableId="1722358962">
    <w:abstractNumId w:val="24"/>
  </w:num>
  <w:num w:numId="3" w16cid:durableId="130174060">
    <w:abstractNumId w:val="26"/>
  </w:num>
  <w:num w:numId="4" w16cid:durableId="460348676">
    <w:abstractNumId w:val="19"/>
  </w:num>
  <w:num w:numId="5" w16cid:durableId="982924377">
    <w:abstractNumId w:val="21"/>
  </w:num>
  <w:num w:numId="6" w16cid:durableId="1376077749">
    <w:abstractNumId w:val="28"/>
  </w:num>
  <w:num w:numId="7" w16cid:durableId="491263409">
    <w:abstractNumId w:val="42"/>
  </w:num>
  <w:num w:numId="8" w16cid:durableId="1341349702">
    <w:abstractNumId w:val="15"/>
  </w:num>
  <w:num w:numId="9" w16cid:durableId="1214544537">
    <w:abstractNumId w:val="43"/>
  </w:num>
  <w:num w:numId="10" w16cid:durableId="293565408">
    <w:abstractNumId w:val="12"/>
  </w:num>
  <w:num w:numId="11" w16cid:durableId="692075925">
    <w:abstractNumId w:val="29"/>
  </w:num>
  <w:num w:numId="12" w16cid:durableId="744572089">
    <w:abstractNumId w:val="39"/>
  </w:num>
  <w:num w:numId="13" w16cid:durableId="1088893137">
    <w:abstractNumId w:val="17"/>
  </w:num>
  <w:num w:numId="14" w16cid:durableId="2085713536">
    <w:abstractNumId w:val="46"/>
  </w:num>
  <w:num w:numId="15" w16cid:durableId="1369332718">
    <w:abstractNumId w:val="35"/>
  </w:num>
  <w:num w:numId="16" w16cid:durableId="163787584">
    <w:abstractNumId w:val="32"/>
  </w:num>
  <w:num w:numId="17" w16cid:durableId="1304844770">
    <w:abstractNumId w:val="18"/>
  </w:num>
  <w:num w:numId="18" w16cid:durableId="2038965430">
    <w:abstractNumId w:val="16"/>
  </w:num>
  <w:num w:numId="19" w16cid:durableId="142548171">
    <w:abstractNumId w:val="47"/>
  </w:num>
  <w:num w:numId="20" w16cid:durableId="1235702470">
    <w:abstractNumId w:val="48"/>
  </w:num>
  <w:num w:numId="21" w16cid:durableId="1303004843">
    <w:abstractNumId w:val="9"/>
  </w:num>
  <w:num w:numId="22" w16cid:durableId="1474175729">
    <w:abstractNumId w:val="7"/>
  </w:num>
  <w:num w:numId="23" w16cid:durableId="636641238">
    <w:abstractNumId w:val="6"/>
  </w:num>
  <w:num w:numId="24" w16cid:durableId="1297297883">
    <w:abstractNumId w:val="5"/>
  </w:num>
  <w:num w:numId="25" w16cid:durableId="1471242217">
    <w:abstractNumId w:val="4"/>
  </w:num>
  <w:num w:numId="26" w16cid:durableId="1190338923">
    <w:abstractNumId w:val="8"/>
  </w:num>
  <w:num w:numId="27" w16cid:durableId="939610185">
    <w:abstractNumId w:val="3"/>
  </w:num>
  <w:num w:numId="28" w16cid:durableId="1259097732">
    <w:abstractNumId w:val="2"/>
  </w:num>
  <w:num w:numId="29" w16cid:durableId="1478524190">
    <w:abstractNumId w:val="1"/>
  </w:num>
  <w:num w:numId="30" w16cid:durableId="1168251754">
    <w:abstractNumId w:val="0"/>
  </w:num>
  <w:num w:numId="31" w16cid:durableId="1654095643">
    <w:abstractNumId w:val="40"/>
  </w:num>
  <w:num w:numId="32" w16cid:durableId="70275185">
    <w:abstractNumId w:val="45"/>
  </w:num>
  <w:num w:numId="33" w16cid:durableId="1376541897">
    <w:abstractNumId w:val="20"/>
  </w:num>
  <w:num w:numId="34" w16cid:durableId="1656373748">
    <w:abstractNumId w:val="23"/>
  </w:num>
  <w:num w:numId="35" w16cid:durableId="1665477609">
    <w:abstractNumId w:val="14"/>
  </w:num>
  <w:num w:numId="36" w16cid:durableId="1298146928">
    <w:abstractNumId w:val="31"/>
  </w:num>
  <w:num w:numId="37" w16cid:durableId="1371801965">
    <w:abstractNumId w:val="13"/>
  </w:num>
  <w:num w:numId="38" w16cid:durableId="1070497628">
    <w:abstractNumId w:val="30"/>
  </w:num>
  <w:num w:numId="39" w16cid:durableId="1315256988">
    <w:abstractNumId w:val="27"/>
  </w:num>
  <w:num w:numId="40" w16cid:durableId="757168895">
    <w:abstractNumId w:val="38"/>
  </w:num>
  <w:num w:numId="41" w16cid:durableId="1430542727">
    <w:abstractNumId w:val="22"/>
  </w:num>
  <w:num w:numId="42" w16cid:durableId="1778938715">
    <w:abstractNumId w:val="33"/>
  </w:num>
  <w:num w:numId="43" w16cid:durableId="670520896">
    <w:abstractNumId w:val="36"/>
  </w:num>
  <w:num w:numId="44" w16cid:durableId="296882392">
    <w:abstractNumId w:val="11"/>
  </w:num>
  <w:num w:numId="45" w16cid:durableId="2074311132">
    <w:abstractNumId w:val="11"/>
    <w:lvlOverride w:ilvl="0">
      <w:startOverride w:val="1"/>
    </w:lvlOverride>
  </w:num>
  <w:num w:numId="46" w16cid:durableId="2129738592">
    <w:abstractNumId w:val="44"/>
  </w:num>
  <w:num w:numId="47" w16cid:durableId="375549332">
    <w:abstractNumId w:val="41"/>
  </w:num>
  <w:num w:numId="48" w16cid:durableId="596065032">
    <w:abstractNumId w:val="37"/>
  </w:num>
  <w:num w:numId="49" w16cid:durableId="1893423345">
    <w:abstractNumId w:val="25"/>
  </w:num>
  <w:num w:numId="50" w16cid:durableId="14265314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E1"/>
    <w:rsid w:val="001269E2"/>
    <w:rsid w:val="00145FFA"/>
    <w:rsid w:val="00235C14"/>
    <w:rsid w:val="002E6BE5"/>
    <w:rsid w:val="0034754E"/>
    <w:rsid w:val="00402A26"/>
    <w:rsid w:val="00447A96"/>
    <w:rsid w:val="00496119"/>
    <w:rsid w:val="00497669"/>
    <w:rsid w:val="004D5678"/>
    <w:rsid w:val="00504BFE"/>
    <w:rsid w:val="00565AB5"/>
    <w:rsid w:val="00673B00"/>
    <w:rsid w:val="006750E5"/>
    <w:rsid w:val="00692BD0"/>
    <w:rsid w:val="00695108"/>
    <w:rsid w:val="006A6731"/>
    <w:rsid w:val="006B20B1"/>
    <w:rsid w:val="006C7FD5"/>
    <w:rsid w:val="006D5C2A"/>
    <w:rsid w:val="006F6043"/>
    <w:rsid w:val="00705B0A"/>
    <w:rsid w:val="00712C88"/>
    <w:rsid w:val="0073063B"/>
    <w:rsid w:val="007E6D1B"/>
    <w:rsid w:val="008368E1"/>
    <w:rsid w:val="008A347E"/>
    <w:rsid w:val="00934D07"/>
    <w:rsid w:val="00994D0C"/>
    <w:rsid w:val="009A3B09"/>
    <w:rsid w:val="009E1501"/>
    <w:rsid w:val="00A40600"/>
    <w:rsid w:val="00A761D4"/>
    <w:rsid w:val="00A84987"/>
    <w:rsid w:val="00B67E58"/>
    <w:rsid w:val="00B71050"/>
    <w:rsid w:val="00B83D72"/>
    <w:rsid w:val="00B85F4B"/>
    <w:rsid w:val="00B96E24"/>
    <w:rsid w:val="00BD4A87"/>
    <w:rsid w:val="00C34C5F"/>
    <w:rsid w:val="00D11378"/>
    <w:rsid w:val="00D65418"/>
    <w:rsid w:val="00DA7485"/>
    <w:rsid w:val="00DC1654"/>
    <w:rsid w:val="00EB1FD8"/>
    <w:rsid w:val="00EB419D"/>
    <w:rsid w:val="00F235EF"/>
    <w:rsid w:val="00FE0DCA"/>
    <w:rsid w:val="00F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412B1"/>
  <w15:chartTrackingRefBased/>
  <w15:docId w15:val="{F1097F36-19C3-4725-A9BE-33DB4651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8E1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8E1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368E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8E1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68E1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8368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8368E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8368E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8368E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8368E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8368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8E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68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8E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368E1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68E1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68E1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368E1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368E1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E1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E1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E1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E1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8368E1"/>
    <w:rPr>
      <w:noProof w:val="0"/>
    </w:rPr>
  </w:style>
  <w:style w:type="character" w:styleId="Hyperlink">
    <w:name w:val="Hyperlink"/>
    <w:basedOn w:val="DefaultParagraphFont"/>
    <w:uiPriority w:val="99"/>
    <w:unhideWhenUsed/>
    <w:rsid w:val="008368E1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8368E1"/>
    <w:pPr>
      <w:numPr>
        <w:numId w:val="46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8368E1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8368E1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8368E1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8368E1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8368E1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8368E1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8368E1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8368E1"/>
    <w:pPr>
      <w:numPr>
        <w:numId w:val="44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8368E1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368E1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E1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8368E1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8368E1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8368E1"/>
    <w:pPr>
      <w:numPr>
        <w:numId w:val="34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8368E1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8368E1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8368E1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8368E1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8368E1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8368E1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8368E1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368E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8368E1"/>
    <w:pPr>
      <w:numPr>
        <w:numId w:val="50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8368E1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8368E1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8368E1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8368E1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8368E1"/>
    <w:rPr>
      <w:b/>
      <w:bCs/>
      <w:noProof w:val="0"/>
    </w:rPr>
  </w:style>
  <w:style w:type="character" w:customStyle="1" w:styleId="Italics">
    <w:name w:val="Italics"/>
    <w:uiPriority w:val="1"/>
    <w:qFormat/>
    <w:rsid w:val="008368E1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8368E1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oxfordeconomics.com/reports/5d9262E93c3545Bc88b702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c3aBa55065EB4EAf94E9E1/Toc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62D31-C320-44E5-BAC7-EED02BA36E81}"/>
      </w:docPartPr>
      <w:docPartBody>
        <w:p w:rsidR="00326FEF" w:rsidRDefault="00326FEF">
          <w:r w:rsidRPr="0005101B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EF"/>
    <w:rsid w:val="002761F5"/>
    <w:rsid w:val="0032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407</Words>
  <Characters>1985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19</cp:revision>
  <dcterms:created xsi:type="dcterms:W3CDTF">2024-06-19T10:28:00Z</dcterms:created>
  <dcterms:modified xsi:type="dcterms:W3CDTF">2024-06-19T10:47:00Z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v0.8.0.7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2024-06-19T10:44:19.000Z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v0.8.0.7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Model\20240619 UK IF.xlsx</vt:lpwstr>
  </property>
  <property fmtid="{D5CDD505-2E9C-101B-9397-08002B2CF9AE}" pid="17" name="OEP_PRODUCT_CODE">
    <vt:lpwstr>f97786a3a33D4951920391</vt:lpwstr>
  </property>
  <property fmtid="{D5CDD505-2E9C-101B-9397-08002B2CF9AE}" pid="18" name="OEP_PUBLISH_DATE">
    <vt:lpwstr/>
  </property>
</Properties>
</file>