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72DD99" w14:textId="245EC4DF" w:rsidR="002634FD" w:rsidRDefault="00861EAE" w:rsidP="002634FD">
      <w:pPr>
        <w:pStyle w:val="Bullet"/>
      </w:pPr>
      <w:r>
        <w:t xml:space="preserve">There was a small upside surprise for UK CPI inflation in June as </w:t>
      </w:r>
      <w:r w:rsidR="00D60EDC">
        <w:t xml:space="preserve">services inflation </w:t>
      </w:r>
      <w:r w:rsidR="00DE7F97">
        <w:t>again overshot expectations</w:t>
      </w:r>
      <w:r w:rsidR="00D60EDC">
        <w:t xml:space="preserve">. </w:t>
      </w:r>
      <w:r w:rsidR="002C2C12">
        <w:t xml:space="preserve">Part of this was due to </w:t>
      </w:r>
      <w:r w:rsidR="00FF1803">
        <w:t xml:space="preserve">movements in volatile categories, which we expect to </w:t>
      </w:r>
      <w:r w:rsidR="00AD4B70">
        <w:t xml:space="preserve">unwind in July, </w:t>
      </w:r>
      <w:r w:rsidR="00496D62">
        <w:t>so we don't see today's data as reason to make major changes to our inflation forecast.</w:t>
      </w:r>
    </w:p>
    <w:p w14:paraId="4906AE8D" w14:textId="5DF65A12" w:rsidR="002634FD" w:rsidRDefault="00E04E6F" w:rsidP="002634FD">
      <w:pPr>
        <w:pStyle w:val="Bullet"/>
      </w:pPr>
      <w:r>
        <w:t xml:space="preserve">We continue to think that headline inflation </w:t>
      </w:r>
      <w:r w:rsidR="00EB3B93">
        <w:t xml:space="preserve">is </w:t>
      </w:r>
      <w:r w:rsidR="00670645">
        <w:t>close to its trough</w:t>
      </w:r>
      <w:r w:rsidR="000A4F2C">
        <w:t>. Core inflation should remain sticky</w:t>
      </w:r>
      <w:r w:rsidR="00D04254">
        <w:t>, owing to the passthrough of still-high pay growth, meanwhile</w:t>
      </w:r>
      <w:r w:rsidR="00374866">
        <w:t xml:space="preserve"> the drag from fall energy prices </w:t>
      </w:r>
      <w:r w:rsidR="00B726ED">
        <w:t>will</w:t>
      </w:r>
      <w:r w:rsidR="00374866">
        <w:t xml:space="preserve"> start to fade from July</w:t>
      </w:r>
      <w:r w:rsidR="00B726ED">
        <w:t>, pushing up headline inflation slightly as we progress through H2 2024.</w:t>
      </w:r>
    </w:p>
    <w:p w14:paraId="61ED745A" w14:textId="7CA7D17A" w:rsidR="00061985" w:rsidRDefault="00E73214" w:rsidP="00B60801">
      <w:r>
        <w:t xml:space="preserve">CPI inflation </w:t>
      </w:r>
      <w:r w:rsidR="003B3811">
        <w:t xml:space="preserve">held steady at 2% in June. </w:t>
      </w:r>
      <w:r w:rsidR="00991F13">
        <w:t xml:space="preserve">We had expected a slightly lower reading, largely </w:t>
      </w:r>
      <w:r w:rsidR="00674C74">
        <w:t xml:space="preserve">due to the </w:t>
      </w:r>
      <w:r w:rsidR="00B3142F">
        <w:t xml:space="preserve">downward pressure on the food and core categories from </w:t>
      </w:r>
      <w:r w:rsidR="00681125">
        <w:t xml:space="preserve">base effects and the indirect effects of lower energy prices. </w:t>
      </w:r>
      <w:r w:rsidR="009D18A1">
        <w:t xml:space="preserve">But </w:t>
      </w:r>
      <w:r w:rsidR="005137AF">
        <w:t xml:space="preserve">core inflation, and in particular services inflation, </w:t>
      </w:r>
      <w:r w:rsidR="00811A7B">
        <w:t xml:space="preserve">proved </w:t>
      </w:r>
      <w:r w:rsidR="00E96FDE">
        <w:t>sticky</w:t>
      </w:r>
      <w:r w:rsidR="007154C2">
        <w:t xml:space="preserve"> and were unchanged at 3.5% and 5.7% respectively. </w:t>
      </w:r>
      <w:r w:rsidR="009F3AD8">
        <w:t>Moreover, t</w:t>
      </w:r>
      <w:r w:rsidR="003D72D7">
        <w:t xml:space="preserve">here was little </w:t>
      </w:r>
      <w:r w:rsidR="00065627">
        <w:t>movement in the other main inflation categories.</w:t>
      </w:r>
      <w:r w:rsidR="004E0223">
        <w:t xml:space="preserve"> </w:t>
      </w:r>
      <w:r w:rsidR="00DB0BFD">
        <w:t xml:space="preserve">RPI inflation </w:t>
      </w:r>
      <w:r w:rsidR="00024033">
        <w:t>edged down to 2.9% in June, from 3% in May</w:t>
      </w:r>
      <w:r w:rsidR="006B5172">
        <w:t xml:space="preserve">, </w:t>
      </w:r>
      <w:r w:rsidR="000856C9">
        <w:t>while RPIX inflation remained at 1.9%</w:t>
      </w:r>
      <w:r w:rsidR="00024033">
        <w:t>.</w:t>
      </w:r>
    </w:p>
    <w:p w14:paraId="0A0E511C" w14:textId="1E476DE0" w:rsidR="00DB0BFD" w:rsidRDefault="00FA027B" w:rsidP="00B60801">
      <w:r>
        <w:t xml:space="preserve">That </w:t>
      </w:r>
      <w:r w:rsidR="005837AC">
        <w:t>June's services inflation reading was sl</w:t>
      </w:r>
      <w:r w:rsidR="00DC3E58">
        <w:t xml:space="preserve">ightly higher than expected, was </w:t>
      </w:r>
      <w:r w:rsidR="008D60A9">
        <w:t xml:space="preserve">partly </w:t>
      </w:r>
      <w:r w:rsidR="00DC3E58">
        <w:t xml:space="preserve">due to a </w:t>
      </w:r>
      <w:r w:rsidR="000D64CC">
        <w:t>3</w:t>
      </w:r>
      <w:r w:rsidR="00DC3E58" w:rsidRPr="00DC3E58">
        <w:t>.</w:t>
      </w:r>
      <w:r w:rsidR="000D64CC">
        <w:t>3</w:t>
      </w:r>
      <w:r w:rsidR="00DC3E58" w:rsidRPr="00DC3E58">
        <w:t xml:space="preserve">% m/m </w:t>
      </w:r>
      <w:r w:rsidR="000D64CC">
        <w:t>rise</w:t>
      </w:r>
      <w:r w:rsidR="00DC3E58" w:rsidRPr="00DC3E58">
        <w:t xml:space="preserve"> in accommodation services prices</w:t>
      </w:r>
      <w:r w:rsidR="008D60A9">
        <w:t>,</w:t>
      </w:r>
      <w:r w:rsidR="0004752C">
        <w:t xml:space="preserve"> which we expect to unwind in July's data</w:t>
      </w:r>
      <w:r w:rsidR="008D60A9">
        <w:t>. Therefore,</w:t>
      </w:r>
      <w:r w:rsidR="00560EF6">
        <w:t xml:space="preserve"> </w:t>
      </w:r>
      <w:r w:rsidR="00DC3E58">
        <w:t>we see little reason to make wholesale changes to our CPI inflation</w:t>
      </w:r>
      <w:r w:rsidR="00D065AE">
        <w:t xml:space="preserve">, though </w:t>
      </w:r>
      <w:r w:rsidR="00570073">
        <w:t>the higher starting point</w:t>
      </w:r>
      <w:r w:rsidR="00084509">
        <w:t xml:space="preserve"> from today's data</w:t>
      </w:r>
      <w:r w:rsidR="00D065AE">
        <w:t xml:space="preserve"> has nudged our 2024 </w:t>
      </w:r>
      <w:r w:rsidR="00B36C01">
        <w:t xml:space="preserve">CPI inflation forecast up to 2.6% in 2024, </w:t>
      </w:r>
      <w:r w:rsidR="009820F0">
        <w:t>0.1ppt higher than in last month's forecast.</w:t>
      </w:r>
    </w:p>
    <w:p w14:paraId="5A65440D" w14:textId="72E7FDB1" w:rsidR="00DB0BFD" w:rsidRDefault="00F852C3" w:rsidP="00B60801">
      <w:r>
        <w:t>Apart</w:t>
      </w:r>
      <w:r w:rsidR="00DD25D8">
        <w:t xml:space="preserve"> from a temporary dip in September,</w:t>
      </w:r>
      <w:r w:rsidR="005C2794">
        <w:t xml:space="preserve"> </w:t>
      </w:r>
      <w:r w:rsidR="009A0FD0">
        <w:t xml:space="preserve">we think </w:t>
      </w:r>
      <w:r w:rsidR="001B1164">
        <w:t xml:space="preserve">headline CPI inflation is now at its trough. </w:t>
      </w:r>
      <w:r w:rsidR="00834934">
        <w:t xml:space="preserve">Services inflation </w:t>
      </w:r>
      <w:r w:rsidR="002A43C5">
        <w:t xml:space="preserve">is likely to remain sticky </w:t>
      </w:r>
      <w:r w:rsidR="00EC236A">
        <w:t>due to the passthrough of still-high</w:t>
      </w:r>
      <w:r w:rsidR="002A43C5">
        <w:t xml:space="preserve"> </w:t>
      </w:r>
      <w:r w:rsidR="00EC236A">
        <w:t xml:space="preserve">pay growth and </w:t>
      </w:r>
      <w:r w:rsidR="00523518">
        <w:t xml:space="preserve">the impact of </w:t>
      </w:r>
      <w:r w:rsidR="00523518" w:rsidRPr="00523518">
        <w:t>April's once-a-year price hikes for many index-linked contracts and regulated prices</w:t>
      </w:r>
      <w:r w:rsidR="00523518">
        <w:t xml:space="preserve">, which baked in high inflation to these categories over the next year. </w:t>
      </w:r>
      <w:r w:rsidR="00C95C58">
        <w:t>Month-to-month movements in headline inflation will be heavily influenced by</w:t>
      </w:r>
      <w:r w:rsidR="00764A7C">
        <w:t xml:space="preserve"> the energy category</w:t>
      </w:r>
      <w:r w:rsidR="00C95C58">
        <w:t>,</w:t>
      </w:r>
      <w:r w:rsidR="00764A7C">
        <w:t xml:space="preserve"> </w:t>
      </w:r>
      <w:r w:rsidR="00EC483E">
        <w:t xml:space="preserve">which will </w:t>
      </w:r>
      <w:r w:rsidR="00764A7C">
        <w:t xml:space="preserve">start to weigh </w:t>
      </w:r>
      <w:r w:rsidR="009D69AC">
        <w:t xml:space="preserve">less </w:t>
      </w:r>
      <w:r w:rsidR="00764A7C">
        <w:t>heavily from July</w:t>
      </w:r>
      <w:r w:rsidR="001D3199">
        <w:t>.</w:t>
      </w:r>
    </w:p>
    <w:p w14:paraId="4DFF53B0" w14:textId="6B70CED7" w:rsidR="002634FD" w:rsidRDefault="002634FD" w:rsidP="00B60801">
      <w:pPr>
        <w:pStyle w:val="ExhibitTitle"/>
        <w:jc w:val="center"/>
      </w:pPr>
      <w:r>
        <w:t xml:space="preserve">Chart </w:t>
      </w:r>
      <w:r>
        <w:fldChar w:fldCharType="begin"/>
      </w:r>
      <w:r w:rsidR="00CE11EC">
        <w:instrText>SEQ CHART</w:instrText>
      </w:r>
      <w:r>
        <w:fldChar w:fldCharType="separate"/>
      </w:r>
      <w:r w:rsidR="00CE11EC">
        <w:rPr>
          <w:noProof/>
        </w:rPr>
        <w:t>1</w:t>
      </w:r>
      <w:r>
        <w:fldChar w:fldCharType="end"/>
      </w:r>
      <w:r>
        <w:t xml:space="preserve">: </w:t>
      </w:r>
      <w:r w:rsidR="001D3199">
        <w:t>Stick</w:t>
      </w:r>
      <w:r w:rsidR="00C22F1A">
        <w:t>ier</w:t>
      </w:r>
      <w:r w:rsidR="001D3199">
        <w:t xml:space="preserve"> services inflation </w:t>
      </w:r>
      <w:r w:rsidR="00C22F1A">
        <w:t xml:space="preserve">in June </w:t>
      </w:r>
      <w:r w:rsidR="001D3199">
        <w:t>has raised our 2024</w:t>
      </w:r>
      <w:r w:rsidR="00DB73A6">
        <w:t xml:space="preserve"> inflation</w:t>
      </w:r>
      <w:r w:rsidR="001D3199">
        <w:t xml:space="preserve"> forecast</w:t>
      </w:r>
      <w:r w:rsidR="00A258DC">
        <w:t xml:space="preserve"> to 2.6%</w:t>
      </w:r>
    </w:p>
    <w:p w14:paraId="734E7888" w14:textId="65FC142A" w:rsidR="00B60801" w:rsidRDefault="00B60801" w:rsidP="00B60801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129E7610" wp14:editId="058772F6">
            <wp:extent cx="4006964" cy="3145495"/>
            <wp:effectExtent l="0" t="0" r="0" b="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rcRect b="1799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4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D4F1" w14:textId="73AD593D" w:rsidR="00673B00" w:rsidRDefault="00B60801" w:rsidP="00B60801">
      <w:pPr>
        <w:pStyle w:val="ExhibitSource"/>
        <w:jc w:val="center"/>
      </w:pPr>
      <w:r>
        <w:t>Source: Oxford Economics, Haver Analytics</w:t>
      </w:r>
    </w:p>
    <w:p w14:paraId="0C1542DA" w14:textId="77777777" w:rsidR="00CE11EC" w:rsidRPr="00CE11EC" w:rsidRDefault="00CE11EC" w:rsidP="00B11BFF"/>
    <w:sectPr w:rsidR="00CE11EC" w:rsidRPr="00CE11EC" w:rsidSect="00B60801">
      <w:headerReference w:type="even" r:id="rId9"/>
      <w:headerReference w:type="default" r:id="rId10"/>
      <w:headerReference w:type="first" r:id="rId11"/>
      <w:footerReference w:type="first" r:id="rId12"/>
      <w:pgSz w:w="11906" w:h="16838"/>
      <w:pgMar w:top="2665" w:right="1276" w:bottom="838" w:left="1134" w:header="708" w:footer="30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02A536" w14:textId="77777777" w:rsidR="00EB2747" w:rsidRDefault="00EB2747" w:rsidP="002634FD">
      <w:pPr>
        <w:spacing w:before="0" w:after="0"/>
      </w:pPr>
      <w:r>
        <w:separator/>
      </w:r>
    </w:p>
  </w:endnote>
  <w:endnote w:type="continuationSeparator" w:id="0">
    <w:p w14:paraId="6F411C2D" w14:textId="77777777" w:rsidR="00EB2747" w:rsidRDefault="00EB2747" w:rsidP="002634F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53A37E" w14:textId="091EF1C1" w:rsidR="002634FD" w:rsidRDefault="002634FD" w:rsidP="002634FD">
    <w:pPr>
      <w:pStyle w:val="Author"/>
    </w:pPr>
    <w:r>
      <w:t>Edward Allenby</w:t>
    </w:r>
    <w:r w:rsidR="00B11BFF">
      <w:t xml:space="preserve"> - </w:t>
    </w:r>
    <w:r>
      <w:t>UK Economist</w:t>
    </w:r>
    <w:r w:rsidR="00B11BFF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561223" w14:textId="77777777" w:rsidR="00EB2747" w:rsidRDefault="00EB2747" w:rsidP="002634FD">
      <w:pPr>
        <w:spacing w:before="0" w:after="0"/>
      </w:pPr>
      <w:r>
        <w:separator/>
      </w:r>
    </w:p>
  </w:footnote>
  <w:footnote w:type="continuationSeparator" w:id="0">
    <w:p w14:paraId="519DB439" w14:textId="77777777" w:rsidR="00EB2747" w:rsidRDefault="00EB2747" w:rsidP="002634FD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495AD" w14:textId="77777777" w:rsidR="002634FD" w:rsidRDefault="002634FD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6A7F21" w14:textId="77777777" w:rsidR="002634FD" w:rsidRDefault="002634FD">
    <w:pPr>
      <w:spacing w:before="0"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E2BED" w14:textId="5636777B" w:rsidR="002634FD" w:rsidRDefault="002634FD" w:rsidP="002634FD">
    <w:r w:rsidRPr="002634FD">
      <w:rPr>
        <w:noProof/>
      </w:rPr>
      <w:drawing>
        <wp:anchor distT="0" distB="0" distL="114300" distR="114300" simplePos="0" relativeHeight="251659264" behindDoc="1" locked="1" layoutInCell="1" allowOverlap="1" wp14:anchorId="02927E0F" wp14:editId="6F3CFD8F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15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-389649300"/>
      <w:lock w:val="sdtLocked"/>
      <w:placeholder>
        <w:docPart w:val="DefaultPlaceholder_-1854013437"/>
      </w:placeholder>
      <w:date w:fullDate="2024-07-17T00:00:00Z">
        <w:dateFormat w:val="d MMMM yyyy"/>
        <w:lid w:val="en-GB"/>
        <w:storeMappedDataAs w:val="dateTime"/>
        <w:calendar w:val="gregorian"/>
      </w:date>
    </w:sdtPr>
    <w:sdtEndPr/>
    <w:sdtContent>
      <w:p w14:paraId="3035EBB7" w14:textId="018F7FC3" w:rsidR="002634FD" w:rsidRDefault="002634FD" w:rsidP="002634FD">
        <w:pPr>
          <w:pStyle w:val="PublishDate"/>
          <w:framePr w:w="2835" w:h="340" w:hRule="exact" w:hSpace="180" w:wrap="around" w:vAnchor="page" w:hAnchor="page" w:x="7801" w:y="601" w:anchorLock="1"/>
        </w:pPr>
        <w:r>
          <w:t>17 July 2024</w:t>
        </w:r>
      </w:p>
    </w:sdtContent>
  </w:sdt>
  <w:p w14:paraId="6DFE1C60" w14:textId="58785C0F" w:rsidR="002634FD" w:rsidRDefault="002634FD" w:rsidP="002634FD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Monthly inflation forecast | UK</w:t>
    </w:r>
  </w:p>
  <w:p w14:paraId="6D7AD46C" w14:textId="32EF60BB" w:rsidR="002634FD" w:rsidRDefault="00022989" w:rsidP="002634FD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>Sticky</w:t>
    </w:r>
    <w:r w:rsidR="00FD524C">
      <w:t xml:space="preserve"> services </w:t>
    </w:r>
    <w:r w:rsidR="001A4D41">
      <w:t xml:space="preserve">inflation </w:t>
    </w:r>
    <w:r w:rsidR="00643F30">
      <w:t>nudges</w:t>
    </w:r>
    <w:r w:rsidR="001A4D41">
      <w:t xml:space="preserve"> up 2024 </w:t>
    </w:r>
    <w:r w:rsidR="002A0F3E">
      <w:t xml:space="preserve">inflation </w:t>
    </w:r>
    <w:r w:rsidR="001A4D41">
      <w:t>forecast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47144C3A"/>
    <w:lvl w:ilvl="0" w:tplc="D8363B80">
      <w:start w:val="1"/>
      <w:numFmt w:val="bullet"/>
      <w:pStyle w:val="Bullet"/>
      <w:lvlText w:val=""/>
      <w:lvlJc w:val="left"/>
      <w:pPr>
        <w:ind w:left="284" w:hanging="284"/>
      </w:pPr>
      <w:rPr>
        <w:rFonts w:ascii="Wingdings" w:hAnsi="Wingdings" w:hint="default"/>
        <w:color w:val="9CC2E5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2"/>
  </w:num>
  <w:num w:numId="2" w16cid:durableId="2074311132">
    <w:abstractNumId w:val="1"/>
    <w:lvlOverride w:ilvl="0">
      <w:startOverride w:val="1"/>
    </w:lvlOverride>
  </w:num>
  <w:num w:numId="3" w16cid:durableId="1590693657">
    <w:abstractNumId w:val="3"/>
  </w:num>
  <w:num w:numId="4" w16cid:durableId="159003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4FD"/>
    <w:rsid w:val="0001171A"/>
    <w:rsid w:val="00022989"/>
    <w:rsid w:val="00024033"/>
    <w:rsid w:val="00032FBD"/>
    <w:rsid w:val="00045A6C"/>
    <w:rsid w:val="0004752C"/>
    <w:rsid w:val="00061985"/>
    <w:rsid w:val="00065627"/>
    <w:rsid w:val="00084509"/>
    <w:rsid w:val="000856C9"/>
    <w:rsid w:val="000954B7"/>
    <w:rsid w:val="000A4F2C"/>
    <w:rsid w:val="000D64CC"/>
    <w:rsid w:val="001A45DD"/>
    <w:rsid w:val="001A4D41"/>
    <w:rsid w:val="001B1164"/>
    <w:rsid w:val="001D3199"/>
    <w:rsid w:val="00235C14"/>
    <w:rsid w:val="00240F0C"/>
    <w:rsid w:val="002634FD"/>
    <w:rsid w:val="002A0F3E"/>
    <w:rsid w:val="002A43C5"/>
    <w:rsid w:val="002C2C12"/>
    <w:rsid w:val="002E6BE5"/>
    <w:rsid w:val="0030542C"/>
    <w:rsid w:val="003055C6"/>
    <w:rsid w:val="00312707"/>
    <w:rsid w:val="00363799"/>
    <w:rsid w:val="00374866"/>
    <w:rsid w:val="00386093"/>
    <w:rsid w:val="003B3811"/>
    <w:rsid w:val="003D72D7"/>
    <w:rsid w:val="00416899"/>
    <w:rsid w:val="00465F4C"/>
    <w:rsid w:val="00496CEA"/>
    <w:rsid w:val="00496D62"/>
    <w:rsid w:val="004E0223"/>
    <w:rsid w:val="005137AF"/>
    <w:rsid w:val="00523518"/>
    <w:rsid w:val="005330EC"/>
    <w:rsid w:val="00560EF6"/>
    <w:rsid w:val="005639FB"/>
    <w:rsid w:val="00570073"/>
    <w:rsid w:val="005837AC"/>
    <w:rsid w:val="005C2794"/>
    <w:rsid w:val="005D4CB9"/>
    <w:rsid w:val="00643F30"/>
    <w:rsid w:val="00670645"/>
    <w:rsid w:val="00673B00"/>
    <w:rsid w:val="00674C74"/>
    <w:rsid w:val="00681125"/>
    <w:rsid w:val="006975DC"/>
    <w:rsid w:val="006977B9"/>
    <w:rsid w:val="006B5172"/>
    <w:rsid w:val="00704D69"/>
    <w:rsid w:val="007154C2"/>
    <w:rsid w:val="0075661E"/>
    <w:rsid w:val="00764A7C"/>
    <w:rsid w:val="007A227D"/>
    <w:rsid w:val="00811A7B"/>
    <w:rsid w:val="00834934"/>
    <w:rsid w:val="00861EAE"/>
    <w:rsid w:val="008878F9"/>
    <w:rsid w:val="008D38A8"/>
    <w:rsid w:val="008D60A9"/>
    <w:rsid w:val="009820F0"/>
    <w:rsid w:val="00991F13"/>
    <w:rsid w:val="009A0FD0"/>
    <w:rsid w:val="009D18A1"/>
    <w:rsid w:val="009D69AC"/>
    <w:rsid w:val="009F3AD8"/>
    <w:rsid w:val="00A258DC"/>
    <w:rsid w:val="00A378AB"/>
    <w:rsid w:val="00A97148"/>
    <w:rsid w:val="00AA1A0F"/>
    <w:rsid w:val="00AD403F"/>
    <w:rsid w:val="00AD4B70"/>
    <w:rsid w:val="00AF0954"/>
    <w:rsid w:val="00B11BFF"/>
    <w:rsid w:val="00B266C1"/>
    <w:rsid w:val="00B3142F"/>
    <w:rsid w:val="00B36C01"/>
    <w:rsid w:val="00B60801"/>
    <w:rsid w:val="00B673EA"/>
    <w:rsid w:val="00B726ED"/>
    <w:rsid w:val="00BB2192"/>
    <w:rsid w:val="00C22F1A"/>
    <w:rsid w:val="00C95C58"/>
    <w:rsid w:val="00CE11EC"/>
    <w:rsid w:val="00D04254"/>
    <w:rsid w:val="00D065AE"/>
    <w:rsid w:val="00D17762"/>
    <w:rsid w:val="00D60EDC"/>
    <w:rsid w:val="00D64A17"/>
    <w:rsid w:val="00DA424F"/>
    <w:rsid w:val="00DB0BFD"/>
    <w:rsid w:val="00DB73A6"/>
    <w:rsid w:val="00DC38AF"/>
    <w:rsid w:val="00DC3E58"/>
    <w:rsid w:val="00DD25D8"/>
    <w:rsid w:val="00DD2B08"/>
    <w:rsid w:val="00DE7F97"/>
    <w:rsid w:val="00E04E6F"/>
    <w:rsid w:val="00E36E7F"/>
    <w:rsid w:val="00E73214"/>
    <w:rsid w:val="00E96FDE"/>
    <w:rsid w:val="00EA725E"/>
    <w:rsid w:val="00EB2747"/>
    <w:rsid w:val="00EB3B93"/>
    <w:rsid w:val="00EC236A"/>
    <w:rsid w:val="00EC2BA9"/>
    <w:rsid w:val="00EC483E"/>
    <w:rsid w:val="00F53E01"/>
    <w:rsid w:val="00F852C3"/>
    <w:rsid w:val="00FA027B"/>
    <w:rsid w:val="00FA73DA"/>
    <w:rsid w:val="00FD524C"/>
    <w:rsid w:val="00FE6DB4"/>
    <w:rsid w:val="00FF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87499E"/>
  <w15:chartTrackingRefBased/>
  <w15:docId w15:val="{776BFAC8-F9AF-4E6D-8323-B96DB2A4E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4FD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34FD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634FD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FD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FD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2634F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2634F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2634F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2634F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2634F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2634F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34FD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634F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34FD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634FD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634FD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634FD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2634FD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2634FD"/>
    <w:rPr>
      <w:rFonts w:asciiTheme="majorHAnsi" w:eastAsiaTheme="majorEastAsia" w:hAnsiTheme="majorHAnsi" w:cstheme="majorBidi"/>
      <w:noProof w:val="0"/>
      <w:color w:val="2F5496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34FD"/>
    <w:rPr>
      <w:rFonts w:asciiTheme="majorHAnsi" w:eastAsiaTheme="majorEastAsia" w:hAnsiTheme="majorHAnsi" w:cstheme="majorBidi"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34FD"/>
    <w:rPr>
      <w:rFonts w:asciiTheme="majorHAnsi" w:eastAsiaTheme="majorEastAsia" w:hAnsiTheme="majorHAnsi" w:cstheme="majorBidi"/>
      <w:i/>
      <w:iCs/>
      <w:noProof w:val="0"/>
      <w:color w:val="1F3763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34FD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34FD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2634FD"/>
    <w:rPr>
      <w:noProof w:val="0"/>
    </w:rPr>
  </w:style>
  <w:style w:type="character" w:styleId="Hyperlink">
    <w:name w:val="Hyperlink"/>
    <w:basedOn w:val="DefaultParagraphFont"/>
    <w:uiPriority w:val="99"/>
    <w:unhideWhenUsed/>
    <w:rsid w:val="002634FD"/>
    <w:rPr>
      <w:noProof w:val="0"/>
      <w:color w:val="0563C1" w:themeColor="hyperlink"/>
      <w:u w:val="single"/>
    </w:rPr>
  </w:style>
  <w:style w:type="paragraph" w:styleId="ListParagraph">
    <w:name w:val="List Paragraph"/>
    <w:next w:val="Normal"/>
    <w:link w:val="ListParagraphChar"/>
    <w:uiPriority w:val="34"/>
    <w:locked/>
    <w:rsid w:val="002634FD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Revision">
    <w:name w:val="Revision"/>
    <w:hidden/>
    <w:uiPriority w:val="99"/>
    <w:semiHidden/>
    <w:rsid w:val="002634FD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2634FD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2634FD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2634FD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2634FD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2634FD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2634FD"/>
    <w:pPr>
      <w:shd w:val="clear" w:color="auto" w:fill="ACB9CA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2634FD"/>
    <w:pPr>
      <w:numPr>
        <w:numId w:val="2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2634FD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634FD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34FD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customStyle="1" w:styleId="TableHeader">
    <w:name w:val="Table Header"/>
    <w:basedOn w:val="TableData"/>
    <w:qFormat/>
    <w:rsid w:val="002634FD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2634FD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2634FD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2634FD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2634FD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2634FD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2634FD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2634FD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2634FD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2634FD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2634FD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2634FD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2634FD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2634FD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2634FD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2634FD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2634FD"/>
    <w:rPr>
      <w:b/>
      <w:bCs/>
      <w:noProof w:val="0"/>
    </w:rPr>
  </w:style>
  <w:style w:type="character" w:customStyle="1" w:styleId="Italics">
    <w:name w:val="Italics"/>
    <w:uiPriority w:val="1"/>
    <w:qFormat/>
    <w:rsid w:val="002634FD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2634FD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D9A83D-F400-43ED-A26B-6761F3E2BB56}"/>
      </w:docPartPr>
      <w:docPartBody>
        <w:p w:rsidR="00937258" w:rsidRDefault="00937258">
          <w:r w:rsidRPr="001D0D8C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58"/>
    <w:rsid w:val="00264415"/>
    <w:rsid w:val="00937258"/>
    <w:rsid w:val="00E2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360</Words>
  <Characters>1833</Characters>
  <Application>Microsoft Office Word</Application>
  <DocSecurity>0</DocSecurity>
  <Lines>25</Lines>
  <Paragraphs>8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Allenby</dc:creator>
  <cp:keywords/>
  <dc:description/>
  <cp:lastModifiedBy>Edward Allenby</cp:lastModifiedBy>
  <cp:revision>22</cp:revision>
  <dcterms:created xsi:type="dcterms:W3CDTF">2024-07-17T10:41:00Z</dcterms:created>
  <dcterms:modified xsi:type="dcterms:W3CDTF">2024-07-17T11:05:00Z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v0.8.0.8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2024-07-17T11:02:31.000Z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v0.8.0.8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Allenby|UK Economist|eallenby@oxfordeconomics.com_x000d_</vt:lpwstr>
  </property>
  <property fmtid="{D5CDD505-2E9C-101B-9397-08002B2CF9AE}" pid="14" name="OEP_CATEGORIES">
    <vt:lpwstr>AnalysisbyRegion-Europe-UnitedKingdom,Macro-UKMonthlyInflation</vt:lpwstr>
  </property>
  <property fmtid="{D5CDD505-2E9C-101B-9397-08002B2CF9AE}" pid="15" name="OEP_TAGS">
    <vt:lpwstr>Key Themes:inflation,forecast</vt:lpwstr>
  </property>
  <property fmtid="{D5CDD505-2E9C-101B-9397-08002B2CF9AE}" pid="16" name="OEP_DATA_FILEPATH">
    <vt:lpwstr>Z:\UK Team\Inflation Model\20240717 UK IF.xlsx</vt:lpwstr>
  </property>
  <property fmtid="{D5CDD505-2E9C-101B-9397-08002B2CF9AE}" pid="17" name="OEP_PRODUCT_CODE">
    <vt:lpwstr>09e41127186240D982Da1c</vt:lpwstr>
  </property>
  <property fmtid="{D5CDD505-2E9C-101B-9397-08002B2CF9AE}" pid="18" name="OEP_PUBLISH_DATE">
    <vt:lpwstr/>
  </property>
</Properties>
</file>