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8EE1" w14:textId="696B16E2" w:rsidR="002958D1" w:rsidRDefault="00D51003" w:rsidP="002958D1">
      <w:pPr>
        <w:pStyle w:val="Bullet"/>
      </w:pPr>
      <w:r>
        <w:t xml:space="preserve">The uptick in UK CPI inflation in July was in line with our expectations. </w:t>
      </w:r>
      <w:r w:rsidR="002350F5">
        <w:t>The increase</w:t>
      </w:r>
      <w:r w:rsidR="004C3B9E">
        <w:t xml:space="preserve"> was primarily due to</w:t>
      </w:r>
      <w:r w:rsidR="008012D7">
        <w:t xml:space="preserve"> base effects in the energy category, following</w:t>
      </w:r>
      <w:r w:rsidR="004C3B9E">
        <w:t xml:space="preserve"> a smaller drop in</w:t>
      </w:r>
      <w:r w:rsidR="002350F5">
        <w:t xml:space="preserve"> the</w:t>
      </w:r>
      <w:r w:rsidR="004C3B9E">
        <w:t xml:space="preserve"> price cap </w:t>
      </w:r>
      <w:r w:rsidR="00DA7DB2">
        <w:t xml:space="preserve">than was seen last year. As a result, </w:t>
      </w:r>
      <w:r w:rsidR="008C7435">
        <w:t>our inflation forecast</w:t>
      </w:r>
      <w:r w:rsidR="00C67399">
        <w:t xml:space="preserve"> is little changed</w:t>
      </w:r>
      <w:r w:rsidR="009740B7">
        <w:t>,</w:t>
      </w:r>
      <w:r w:rsidR="00220618">
        <w:t xml:space="preserve"> </w:t>
      </w:r>
      <w:r w:rsidR="00C41BB2">
        <w:t xml:space="preserve">and </w:t>
      </w:r>
      <w:r w:rsidR="000479DD">
        <w:t xml:space="preserve">we </w:t>
      </w:r>
      <w:r w:rsidR="00220618">
        <w:t>expect CPI inflation to average 2.5% this year and next.</w:t>
      </w:r>
    </w:p>
    <w:p w14:paraId="31957716" w14:textId="24CF1141" w:rsidR="002958D1" w:rsidRDefault="002554C1" w:rsidP="002958D1">
      <w:pPr>
        <w:pStyle w:val="Bullet"/>
      </w:pPr>
      <w:r>
        <w:t xml:space="preserve">Large base effects will cause </w:t>
      </w:r>
      <w:r w:rsidR="00AB0A23">
        <w:t>some</w:t>
      </w:r>
      <w:r w:rsidR="00F9226B">
        <w:t xml:space="preserve"> </w:t>
      </w:r>
      <w:r w:rsidR="00AB0A23">
        <w:t>m</w:t>
      </w:r>
      <w:r w:rsidR="0053191C">
        <w:t xml:space="preserve">onth-to-month </w:t>
      </w:r>
      <w:r w:rsidR="00F9226B">
        <w:t>volatility</w:t>
      </w:r>
      <w:r w:rsidR="0053191C">
        <w:t xml:space="preserve"> in headline inflation </w:t>
      </w:r>
      <w:r w:rsidR="00B957AB">
        <w:t xml:space="preserve">rates </w:t>
      </w:r>
      <w:r w:rsidR="00AB0A23">
        <w:t>over the next few months</w:t>
      </w:r>
      <w:r w:rsidR="00697550">
        <w:t xml:space="preserve">. </w:t>
      </w:r>
      <w:r>
        <w:t>W</w:t>
      </w:r>
      <w:r w:rsidR="00FB3D8C">
        <w:t xml:space="preserve">e expect CPI </w:t>
      </w:r>
      <w:r w:rsidR="004A2BE8">
        <w:t xml:space="preserve">inflation </w:t>
      </w:r>
      <w:r w:rsidR="00FB3D8C">
        <w:t>to</w:t>
      </w:r>
      <w:r w:rsidR="004A2BE8">
        <w:t xml:space="preserve"> gradually drift upwards</w:t>
      </w:r>
      <w:r w:rsidR="00FB3D8C">
        <w:t xml:space="preserve"> </w:t>
      </w:r>
      <w:r w:rsidR="00083C24">
        <w:t xml:space="preserve">in </w:t>
      </w:r>
      <w:r w:rsidR="00505F1C">
        <w:t xml:space="preserve">towards </w:t>
      </w:r>
      <w:r w:rsidR="00ED3279">
        <w:t xml:space="preserve">the end of this year </w:t>
      </w:r>
      <w:r w:rsidR="00083C24">
        <w:t xml:space="preserve">as </w:t>
      </w:r>
      <w:r w:rsidR="00B957AB">
        <w:t>the drag</w:t>
      </w:r>
      <w:r w:rsidR="00083C24">
        <w:t xml:space="preserve"> from the energy category continues to fade.</w:t>
      </w:r>
    </w:p>
    <w:p w14:paraId="2951A333" w14:textId="00764560" w:rsidR="00B720A2" w:rsidRDefault="00220223" w:rsidP="002958D1">
      <w:r>
        <w:t xml:space="preserve">In </w:t>
      </w:r>
      <w:r w:rsidR="00811F3D">
        <w:t xml:space="preserve">line with </w:t>
      </w:r>
      <w:hyperlink r:id="rId7" w:history="1">
        <w:r w:rsidR="00811F3D" w:rsidRPr="00C9288F">
          <w:rPr>
            <w:rStyle w:val="Hyperlink"/>
          </w:rPr>
          <w:t>our forecast</w:t>
        </w:r>
      </w:hyperlink>
      <w:r w:rsidR="00811F3D">
        <w:t xml:space="preserve">, CPI inflation edged up to 2.2% in July </w:t>
      </w:r>
      <w:r w:rsidR="00F07489">
        <w:t xml:space="preserve">from 2% in June. </w:t>
      </w:r>
      <w:r w:rsidR="008120B2">
        <w:t xml:space="preserve">July's </w:t>
      </w:r>
      <w:r w:rsidR="00602F7A">
        <w:t xml:space="preserve">higher headline rate reflected </w:t>
      </w:r>
      <w:r w:rsidR="00BE6D46">
        <w:t>a smaller drag from the energy category</w:t>
      </w:r>
      <w:r w:rsidR="00BE425E">
        <w:t xml:space="preserve"> – </w:t>
      </w:r>
      <w:r w:rsidR="006A48A2">
        <w:t xml:space="preserve">though </w:t>
      </w:r>
      <w:r w:rsidR="00BA13CC">
        <w:t>Ofgem</w:t>
      </w:r>
      <w:r w:rsidR="00BE425E">
        <w:t>'s</w:t>
      </w:r>
      <w:r w:rsidR="00BA13CC">
        <w:t xml:space="preserve"> energy price cap </w:t>
      </w:r>
      <w:r w:rsidR="00BE425E">
        <w:t xml:space="preserve">was cut by </w:t>
      </w:r>
      <w:r w:rsidR="00E8112D">
        <w:t>near</w:t>
      </w:r>
      <w:r w:rsidR="00F2635D">
        <w:t>ly</w:t>
      </w:r>
      <w:r w:rsidR="005E0067">
        <w:t>-</w:t>
      </w:r>
      <w:r w:rsidR="00D50D67">
        <w:t xml:space="preserve">7% </w:t>
      </w:r>
      <w:r w:rsidR="005E0B5D">
        <w:t xml:space="preserve">in </w:t>
      </w:r>
      <w:r w:rsidR="00D50D67">
        <w:t xml:space="preserve">July, </w:t>
      </w:r>
      <w:r w:rsidR="00F2635D">
        <w:t>it had falle</w:t>
      </w:r>
      <w:r w:rsidR="00720FC9">
        <w:t xml:space="preserve">n </w:t>
      </w:r>
      <w:r w:rsidR="00785917">
        <w:t xml:space="preserve">by </w:t>
      </w:r>
      <w:r w:rsidR="00720FC9">
        <w:t xml:space="preserve">more than twice as much in that month </w:t>
      </w:r>
      <w:r w:rsidR="005F4459">
        <w:t>last year.</w:t>
      </w:r>
      <w:r w:rsidR="00C0421E">
        <w:t xml:space="preserve"> </w:t>
      </w:r>
      <w:r w:rsidR="00194902">
        <w:t xml:space="preserve">But </w:t>
      </w:r>
      <w:r w:rsidR="00785917">
        <w:t>this</w:t>
      </w:r>
      <w:r w:rsidR="00194902">
        <w:t xml:space="preserve"> </w:t>
      </w:r>
      <w:r w:rsidR="00945799">
        <w:t xml:space="preserve">was </w:t>
      </w:r>
      <w:r w:rsidR="00F51824">
        <w:t>partly</w:t>
      </w:r>
      <w:r w:rsidR="00945799">
        <w:t xml:space="preserve"> offset </w:t>
      </w:r>
      <w:r w:rsidR="00920485">
        <w:t xml:space="preserve">by </w:t>
      </w:r>
      <w:r w:rsidR="006542A7">
        <w:t xml:space="preserve">softer </w:t>
      </w:r>
      <w:r w:rsidR="00CD5DB2">
        <w:t xml:space="preserve">services inflation, </w:t>
      </w:r>
      <w:r w:rsidR="005244A9">
        <w:t>some of which was due to</w:t>
      </w:r>
      <w:r w:rsidR="00C73381">
        <w:t xml:space="preserve"> the unwinding of</w:t>
      </w:r>
      <w:r w:rsidR="00920485">
        <w:t xml:space="preserve"> </w:t>
      </w:r>
      <w:hyperlink r:id="rId8" w:history="1">
        <w:r w:rsidR="00920485" w:rsidRPr="00081017">
          <w:rPr>
            <w:rStyle w:val="Hyperlink"/>
          </w:rPr>
          <w:t>June's unusual spike in hotel prices</w:t>
        </w:r>
      </w:hyperlink>
      <w:r w:rsidR="00396C3D">
        <w:t>.</w:t>
      </w:r>
      <w:r w:rsidR="005244A9">
        <w:t xml:space="preserve"> </w:t>
      </w:r>
    </w:p>
    <w:p w14:paraId="2C061AE6" w14:textId="1E1F1411" w:rsidR="00945799" w:rsidRDefault="00DD7859" w:rsidP="002958D1">
      <w:r>
        <w:t xml:space="preserve">Elsewhere, RPI </w:t>
      </w:r>
      <w:r w:rsidR="00452385">
        <w:t xml:space="preserve">and RPIX inflation rose to 3.6% and 2.7% </w:t>
      </w:r>
      <w:r w:rsidR="00847543">
        <w:t>respectively in July, from 2.9% and 1.9% in June.</w:t>
      </w:r>
      <w:r w:rsidR="00C22215">
        <w:t xml:space="preserve"> The larger increases for these measures reflected </w:t>
      </w:r>
      <w:r w:rsidR="0029232E">
        <w:t xml:space="preserve">a sharp drop in the drag </w:t>
      </w:r>
      <w:r w:rsidR="00E62253">
        <w:t xml:space="preserve">caused by </w:t>
      </w:r>
      <w:r w:rsidR="00EF6DBF">
        <w:t>'other differences</w:t>
      </w:r>
      <w:r w:rsidR="00CE0830">
        <w:t xml:space="preserve"> between CPI and RPI, including weights'.</w:t>
      </w:r>
    </w:p>
    <w:p w14:paraId="148E90FC" w14:textId="791462A6" w:rsidR="003348D4" w:rsidRDefault="00134228" w:rsidP="002958D1">
      <w:r>
        <w:t xml:space="preserve">Given today's data </w:t>
      </w:r>
      <w:r w:rsidR="009B0993">
        <w:t xml:space="preserve">came in broadly as expected, </w:t>
      </w:r>
      <w:r w:rsidR="00B809F1">
        <w:t xml:space="preserve">and there has been little movement in the underlying drivers, </w:t>
      </w:r>
      <w:r w:rsidR="007D43D6">
        <w:t>our inflation forecast</w:t>
      </w:r>
      <w:r w:rsidR="00C67399">
        <w:t xml:space="preserve"> is little changed compared with last month</w:t>
      </w:r>
      <w:r w:rsidR="007D43D6">
        <w:t>.</w:t>
      </w:r>
      <w:r w:rsidR="00C41BB2">
        <w:t xml:space="preserve"> W</w:t>
      </w:r>
      <w:r w:rsidR="00003568">
        <w:t>e</w:t>
      </w:r>
      <w:r w:rsidR="00FB4B0E">
        <w:t xml:space="preserve"> </w:t>
      </w:r>
      <w:r w:rsidR="009E7234">
        <w:t xml:space="preserve">expect CPI inflation to average </w:t>
      </w:r>
      <w:r w:rsidR="009F025F">
        <w:t>2.5%</w:t>
      </w:r>
      <w:r w:rsidR="00604B36">
        <w:t xml:space="preserve"> </w:t>
      </w:r>
      <w:r w:rsidR="00C74AF6">
        <w:t>in 2024 and 2025.</w:t>
      </w:r>
    </w:p>
    <w:p w14:paraId="32D478AE" w14:textId="6B96750F" w:rsidR="00C65FB1" w:rsidRDefault="00F273B9" w:rsidP="00C65FB1">
      <w:r>
        <w:t xml:space="preserve">Large base effects, reflecting unusual seasonal movements in services prices last summer, </w:t>
      </w:r>
      <w:r w:rsidR="00193694">
        <w:t>are likely to cause some volatility in inflation rates over the next few months</w:t>
      </w:r>
      <w:r w:rsidR="00332FDF">
        <w:t xml:space="preserve">. </w:t>
      </w:r>
      <w:r w:rsidR="006431BE">
        <w:t>Thereafter</w:t>
      </w:r>
      <w:r w:rsidR="00922C2A">
        <w:t xml:space="preserve">, </w:t>
      </w:r>
      <w:r w:rsidR="00C01D14">
        <w:t xml:space="preserve">the shrinking drag from the energy category </w:t>
      </w:r>
      <w:r w:rsidR="005B0A11">
        <w:t>will push headline inflation</w:t>
      </w:r>
      <w:r w:rsidR="001222EE">
        <w:t xml:space="preserve"> </w:t>
      </w:r>
      <w:r w:rsidR="00D06557">
        <w:t>higher around the turn of the year</w:t>
      </w:r>
      <w:r w:rsidR="00D36990">
        <w:t xml:space="preserve">, more than offsetting a cooling in core inflation as </w:t>
      </w:r>
      <w:r w:rsidR="00485EED">
        <w:t xml:space="preserve">firms </w:t>
      </w:r>
      <w:r w:rsidR="00225D35">
        <w:t xml:space="preserve">increasingly </w:t>
      </w:r>
      <w:r w:rsidR="00F22448">
        <w:t xml:space="preserve">reflect </w:t>
      </w:r>
      <w:r w:rsidR="00225D35">
        <w:t xml:space="preserve">their </w:t>
      </w:r>
      <w:r w:rsidR="00F22448">
        <w:t xml:space="preserve">lower energy costs in </w:t>
      </w:r>
      <w:r w:rsidR="00225D35">
        <w:t xml:space="preserve">their </w:t>
      </w:r>
      <w:r w:rsidR="00F22448">
        <w:t>prices.</w:t>
      </w:r>
    </w:p>
    <w:p w14:paraId="662481C9" w14:textId="21BA9C9B" w:rsidR="002958D1" w:rsidRDefault="002958D1" w:rsidP="00C65FB1">
      <w:pPr>
        <w:pStyle w:val="ExhibitTitle"/>
        <w:jc w:val="center"/>
      </w:pPr>
      <w:r>
        <w:t xml:space="preserve">Chart </w:t>
      </w:r>
      <w:r>
        <w:fldChar w:fldCharType="begin"/>
      </w:r>
      <w:r w:rsidR="00322359">
        <w:instrText>SEQ CHART</w:instrText>
      </w:r>
      <w:r>
        <w:fldChar w:fldCharType="separate"/>
      </w:r>
      <w:r w:rsidR="00322359">
        <w:rPr>
          <w:noProof/>
        </w:rPr>
        <w:t>1</w:t>
      </w:r>
      <w:r>
        <w:fldChar w:fldCharType="end"/>
      </w:r>
      <w:r>
        <w:t xml:space="preserve">: </w:t>
      </w:r>
      <w:r w:rsidR="004C423B">
        <w:t xml:space="preserve">Inflation is forecast to average 2.5% in 2024 and 2025 </w:t>
      </w:r>
    </w:p>
    <w:p w14:paraId="715A5665" w14:textId="7C0A4C81" w:rsidR="00C65FB1" w:rsidRDefault="00C65FB1" w:rsidP="00C65FB1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225F5A3" wp14:editId="0DC9E53D">
            <wp:extent cx="4006964" cy="31454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BFAC" w14:textId="4DA51DF7" w:rsidR="00322359" w:rsidRDefault="00C65FB1" w:rsidP="00322359">
      <w:pPr>
        <w:pStyle w:val="ExhibitSource"/>
        <w:jc w:val="center"/>
      </w:pPr>
      <w:r>
        <w:t>Source: Oxford Economics, Haver Analytics</w:t>
      </w:r>
    </w:p>
    <w:p w14:paraId="488CA990" w14:textId="77777777" w:rsidR="001D158C" w:rsidRPr="001D158C" w:rsidRDefault="001D158C" w:rsidP="00AA3161"/>
    <w:sectPr w:rsidR="001D158C" w:rsidRPr="001D158C" w:rsidSect="00C65FB1">
      <w:headerReference w:type="even" r:id="rId11"/>
      <w:headerReference w:type="default" r:id="rId12"/>
      <w:headerReference w:type="first" r:id="rId13"/>
      <w:footerReference w:type="first" r:id="rId14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F88203" w14:textId="77777777" w:rsidR="000D33CF" w:rsidRDefault="000D33CF" w:rsidP="002958D1">
      <w:pPr>
        <w:spacing w:before="0" w:after="0"/>
      </w:pPr>
      <w:r>
        <w:separator/>
      </w:r>
    </w:p>
  </w:endnote>
  <w:endnote w:type="continuationSeparator" w:id="0">
    <w:p w14:paraId="3F4079DB" w14:textId="77777777" w:rsidR="000D33CF" w:rsidRDefault="000D33CF" w:rsidP="002958D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57EB" w14:textId="480DA18F" w:rsidR="002958D1" w:rsidRDefault="002958D1" w:rsidP="002958D1">
    <w:pPr>
      <w:pStyle w:val="Author"/>
    </w:pPr>
    <w:r>
      <w:t>Edward Allenby</w:t>
    </w:r>
    <w:r w:rsidR="00AA3161">
      <w:t xml:space="preserve"> - </w:t>
    </w:r>
    <w:r>
      <w:t>UK Economist</w:t>
    </w:r>
    <w:r w:rsidR="00AA3161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0AF5D" w14:textId="77777777" w:rsidR="000D33CF" w:rsidRDefault="000D33CF" w:rsidP="002958D1">
      <w:pPr>
        <w:spacing w:before="0" w:after="0"/>
      </w:pPr>
      <w:r>
        <w:separator/>
      </w:r>
    </w:p>
  </w:footnote>
  <w:footnote w:type="continuationSeparator" w:id="0">
    <w:p w14:paraId="7CFCFED5" w14:textId="77777777" w:rsidR="000D33CF" w:rsidRDefault="000D33CF" w:rsidP="002958D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620AC" w14:textId="77777777" w:rsidR="002958D1" w:rsidRDefault="002958D1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3FF2E" w14:textId="77777777" w:rsidR="002958D1" w:rsidRDefault="002958D1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F8251" w14:textId="2667C3EA" w:rsidR="002958D1" w:rsidRDefault="002958D1" w:rsidP="002958D1">
    <w:r w:rsidRPr="002958D1">
      <w:rPr>
        <w:noProof/>
      </w:rPr>
      <w:drawing>
        <wp:anchor distT="0" distB="0" distL="114300" distR="114300" simplePos="0" relativeHeight="251659264" behindDoc="1" locked="1" layoutInCell="1" allowOverlap="1" wp14:anchorId="75D3AFDC" wp14:editId="786052BF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1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647093488"/>
      <w:lock w:val="sdtLocked"/>
      <w:placeholder>
        <w:docPart w:val="DefaultPlaceholder_-1854013437"/>
      </w:placeholder>
      <w:date w:fullDate="2024-08-14T00:00:00Z">
        <w:dateFormat w:val="d MMMM yyyy"/>
        <w:lid w:val="en-GB"/>
        <w:storeMappedDataAs w:val="dateTime"/>
        <w:calendar w:val="gregorian"/>
      </w:date>
    </w:sdtPr>
    <w:sdtEndPr/>
    <w:sdtContent>
      <w:p w14:paraId="74518B36" w14:textId="4CB09651" w:rsidR="002958D1" w:rsidRDefault="002958D1" w:rsidP="002958D1">
        <w:pPr>
          <w:pStyle w:val="PublishDate"/>
          <w:framePr w:w="2835" w:h="340" w:hRule="exact" w:hSpace="180" w:wrap="around" w:vAnchor="page" w:hAnchor="page" w:x="7801" w:y="601" w:anchorLock="1"/>
        </w:pPr>
        <w:r>
          <w:t>14 August 2024</w:t>
        </w:r>
      </w:p>
    </w:sdtContent>
  </w:sdt>
  <w:p w14:paraId="2822711E" w14:textId="16EE63A6" w:rsidR="002958D1" w:rsidRDefault="002958D1" w:rsidP="002958D1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4E5539F0" w14:textId="08309510" w:rsidR="002958D1" w:rsidRDefault="00A12307" w:rsidP="002958D1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 xml:space="preserve">CPI inflation forecast to average 2.5% in </w:t>
    </w:r>
    <w:r w:rsidR="00541B54">
      <w:t>2024 and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  <w:lvlOverride w:ilvl="0">
      <w:startOverride w:val="1"/>
    </w:lvlOverride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D1"/>
    <w:rsid w:val="00003568"/>
    <w:rsid w:val="00005B58"/>
    <w:rsid w:val="000135A8"/>
    <w:rsid w:val="00014C23"/>
    <w:rsid w:val="00027B29"/>
    <w:rsid w:val="00032704"/>
    <w:rsid w:val="0003799A"/>
    <w:rsid w:val="000421CB"/>
    <w:rsid w:val="000479DD"/>
    <w:rsid w:val="00081017"/>
    <w:rsid w:val="00083C24"/>
    <w:rsid w:val="000D3069"/>
    <w:rsid w:val="000D33CF"/>
    <w:rsid w:val="000F1F86"/>
    <w:rsid w:val="00106A3C"/>
    <w:rsid w:val="001222EE"/>
    <w:rsid w:val="00134228"/>
    <w:rsid w:val="001379B5"/>
    <w:rsid w:val="0014489B"/>
    <w:rsid w:val="001650C8"/>
    <w:rsid w:val="00170D68"/>
    <w:rsid w:val="00193694"/>
    <w:rsid w:val="00194902"/>
    <w:rsid w:val="001A65D0"/>
    <w:rsid w:val="001B3BD9"/>
    <w:rsid w:val="001D158C"/>
    <w:rsid w:val="00214572"/>
    <w:rsid w:val="00220223"/>
    <w:rsid w:val="00220618"/>
    <w:rsid w:val="00225D35"/>
    <w:rsid w:val="002350F5"/>
    <w:rsid w:val="00235C14"/>
    <w:rsid w:val="0025112C"/>
    <w:rsid w:val="002554C1"/>
    <w:rsid w:val="0029232E"/>
    <w:rsid w:val="002958D1"/>
    <w:rsid w:val="002A2F1B"/>
    <w:rsid w:val="002C7FC6"/>
    <w:rsid w:val="002E5104"/>
    <w:rsid w:val="002E6BE5"/>
    <w:rsid w:val="00322359"/>
    <w:rsid w:val="00332FDF"/>
    <w:rsid w:val="003348D4"/>
    <w:rsid w:val="00351CDB"/>
    <w:rsid w:val="00362CF6"/>
    <w:rsid w:val="00396C3D"/>
    <w:rsid w:val="00452385"/>
    <w:rsid w:val="00473164"/>
    <w:rsid w:val="00485EED"/>
    <w:rsid w:val="004A2BE8"/>
    <w:rsid w:val="004C3B9E"/>
    <w:rsid w:val="004C423B"/>
    <w:rsid w:val="00505F1C"/>
    <w:rsid w:val="005236CE"/>
    <w:rsid w:val="005244A9"/>
    <w:rsid w:val="0053191C"/>
    <w:rsid w:val="00531F51"/>
    <w:rsid w:val="00541B54"/>
    <w:rsid w:val="00542882"/>
    <w:rsid w:val="005B0A11"/>
    <w:rsid w:val="005C3703"/>
    <w:rsid w:val="005E0067"/>
    <w:rsid w:val="005E0B5D"/>
    <w:rsid w:val="005F4459"/>
    <w:rsid w:val="00602F7A"/>
    <w:rsid w:val="00604B36"/>
    <w:rsid w:val="006141B7"/>
    <w:rsid w:val="00637EA3"/>
    <w:rsid w:val="0064058E"/>
    <w:rsid w:val="006431BE"/>
    <w:rsid w:val="006542A7"/>
    <w:rsid w:val="00673B00"/>
    <w:rsid w:val="00697550"/>
    <w:rsid w:val="006A48A2"/>
    <w:rsid w:val="006F590F"/>
    <w:rsid w:val="00712C44"/>
    <w:rsid w:val="00717ACB"/>
    <w:rsid w:val="00720FC9"/>
    <w:rsid w:val="00725E6A"/>
    <w:rsid w:val="00735D5C"/>
    <w:rsid w:val="00785917"/>
    <w:rsid w:val="007D43D6"/>
    <w:rsid w:val="007F4B97"/>
    <w:rsid w:val="008012D7"/>
    <w:rsid w:val="00811F3D"/>
    <w:rsid w:val="008120B2"/>
    <w:rsid w:val="008147B8"/>
    <w:rsid w:val="008230AA"/>
    <w:rsid w:val="0082739E"/>
    <w:rsid w:val="00847543"/>
    <w:rsid w:val="00864A57"/>
    <w:rsid w:val="0086531D"/>
    <w:rsid w:val="008B72D7"/>
    <w:rsid w:val="008B771D"/>
    <w:rsid w:val="008C7435"/>
    <w:rsid w:val="00920485"/>
    <w:rsid w:val="00922C2A"/>
    <w:rsid w:val="00945799"/>
    <w:rsid w:val="00957B91"/>
    <w:rsid w:val="009740B7"/>
    <w:rsid w:val="00983FAF"/>
    <w:rsid w:val="009B0993"/>
    <w:rsid w:val="009B4E4D"/>
    <w:rsid w:val="009D1B47"/>
    <w:rsid w:val="009E7234"/>
    <w:rsid w:val="009F025F"/>
    <w:rsid w:val="009F5DF8"/>
    <w:rsid w:val="00A12307"/>
    <w:rsid w:val="00A4147D"/>
    <w:rsid w:val="00A84420"/>
    <w:rsid w:val="00A94EB2"/>
    <w:rsid w:val="00AA3161"/>
    <w:rsid w:val="00AB0A23"/>
    <w:rsid w:val="00AE5393"/>
    <w:rsid w:val="00B022EA"/>
    <w:rsid w:val="00B31AAE"/>
    <w:rsid w:val="00B35531"/>
    <w:rsid w:val="00B41000"/>
    <w:rsid w:val="00B47EB2"/>
    <w:rsid w:val="00B720A2"/>
    <w:rsid w:val="00B809F1"/>
    <w:rsid w:val="00B9328B"/>
    <w:rsid w:val="00B957AB"/>
    <w:rsid w:val="00BA13CC"/>
    <w:rsid w:val="00BD27D4"/>
    <w:rsid w:val="00BE425E"/>
    <w:rsid w:val="00BE6D46"/>
    <w:rsid w:val="00C01D14"/>
    <w:rsid w:val="00C0421E"/>
    <w:rsid w:val="00C22215"/>
    <w:rsid w:val="00C41BB2"/>
    <w:rsid w:val="00C65FB1"/>
    <w:rsid w:val="00C67399"/>
    <w:rsid w:val="00C73381"/>
    <w:rsid w:val="00C74AF6"/>
    <w:rsid w:val="00C8054E"/>
    <w:rsid w:val="00C9288F"/>
    <w:rsid w:val="00CA3E6D"/>
    <w:rsid w:val="00CD5DB2"/>
    <w:rsid w:val="00CE0830"/>
    <w:rsid w:val="00CF00C4"/>
    <w:rsid w:val="00D06557"/>
    <w:rsid w:val="00D36990"/>
    <w:rsid w:val="00D36FA4"/>
    <w:rsid w:val="00D44C89"/>
    <w:rsid w:val="00D50D67"/>
    <w:rsid w:val="00D51003"/>
    <w:rsid w:val="00D665E0"/>
    <w:rsid w:val="00D74323"/>
    <w:rsid w:val="00DA7DB2"/>
    <w:rsid w:val="00DD7859"/>
    <w:rsid w:val="00E30E6F"/>
    <w:rsid w:val="00E42D2E"/>
    <w:rsid w:val="00E62253"/>
    <w:rsid w:val="00E66C1B"/>
    <w:rsid w:val="00E8112D"/>
    <w:rsid w:val="00EA283F"/>
    <w:rsid w:val="00ED3279"/>
    <w:rsid w:val="00EE0FC9"/>
    <w:rsid w:val="00EF6DBF"/>
    <w:rsid w:val="00EF7233"/>
    <w:rsid w:val="00F03A7C"/>
    <w:rsid w:val="00F07489"/>
    <w:rsid w:val="00F1564C"/>
    <w:rsid w:val="00F22448"/>
    <w:rsid w:val="00F2635D"/>
    <w:rsid w:val="00F273B9"/>
    <w:rsid w:val="00F41836"/>
    <w:rsid w:val="00F51824"/>
    <w:rsid w:val="00F6576F"/>
    <w:rsid w:val="00F7529D"/>
    <w:rsid w:val="00F90DBE"/>
    <w:rsid w:val="00F9226B"/>
    <w:rsid w:val="00FB3D8C"/>
    <w:rsid w:val="00FB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E98AF2"/>
  <w15:chartTrackingRefBased/>
  <w15:docId w15:val="{E42D3EB4-1015-43DF-83C9-E3C992A90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8D1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58D1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958D1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8D1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58D1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2958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2958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2958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2958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2958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2958D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8D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58D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8D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958D1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958D1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958D1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958D1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958D1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8D1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8D1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8D1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8D1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2958D1"/>
    <w:rPr>
      <w:noProof w:val="0"/>
    </w:rPr>
  </w:style>
  <w:style w:type="character" w:styleId="Hyperlink">
    <w:name w:val="Hyperlink"/>
    <w:basedOn w:val="DefaultParagraphFont"/>
    <w:uiPriority w:val="99"/>
    <w:unhideWhenUsed/>
    <w:rsid w:val="002958D1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2958D1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2958D1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2958D1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2958D1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2958D1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2958D1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2958D1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2958D1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2958D1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2958D1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958D1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8D1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2958D1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2958D1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2958D1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2958D1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2958D1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2958D1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2958D1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2958D1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2958D1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2958D1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958D1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2958D1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2958D1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2958D1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2958D1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2958D1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2958D1"/>
    <w:rPr>
      <w:b/>
      <w:bCs/>
      <w:noProof w:val="0"/>
    </w:rPr>
  </w:style>
  <w:style w:type="character" w:customStyle="1" w:styleId="Italics">
    <w:name w:val="Italics"/>
    <w:uiPriority w:val="1"/>
    <w:qFormat/>
    <w:rsid w:val="002958D1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2958D1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oxfordeconomics.com/reports/24cC7a047aC340F4803161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my.oxfordeconomics.com/reportaction/09e41127186240D982Da1c/Toc" TargetMode="Externa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sv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D55869-6414-4CFB-9ABB-1B5C121465F9}"/>
      </w:docPartPr>
      <w:docPartBody>
        <w:p w:rsidR="003338E4" w:rsidRDefault="00297DAB">
          <w:r w:rsidRPr="00460265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AB"/>
    <w:rsid w:val="00297DAB"/>
    <w:rsid w:val="003338E4"/>
    <w:rsid w:val="00E35295"/>
    <w:rsid w:val="00F9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374</Words>
  <Characters>1824</Characters>
  <Application>Microsoft Office Word</Application>
  <DocSecurity>0</DocSecurity>
  <Lines>26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42</cp:revision>
  <dcterms:created xsi:type="dcterms:W3CDTF">2024-08-14T11:01:00Z</dcterms:created>
  <dcterms:modified xsi:type="dcterms:W3CDTF">2024-08-14T11:44:00Z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v0.8.0.8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2024-08-14T11:39:28.000Z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v0.8.0.8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Model\20240814 UK IF.xlsx</vt:lpwstr>
  </property>
  <property fmtid="{D5CDD505-2E9C-101B-9397-08002B2CF9AE}" pid="17" name="OEP_PRODUCT_CODE">
    <vt:lpwstr>aa9245863FB0457d97A47d</vt:lpwstr>
  </property>
  <property fmtid="{D5CDD505-2E9C-101B-9397-08002B2CF9AE}" pid="18" name="OEP_PUBLISH_DATE">
    <vt:lpwstr/>
  </property>
</Properties>
</file>