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03DFD" w14:textId="6BC6169B" w:rsidR="004C2FD5" w:rsidRDefault="00DE12F7" w:rsidP="008F18A8">
      <w:pPr>
        <w:pStyle w:val="Bullet"/>
      </w:pPr>
      <w:r>
        <w:t xml:space="preserve">The drop in UK CPI inflation in September </w:t>
      </w:r>
      <w:r w:rsidR="00873E0E">
        <w:t>was in line with our forecast but below consensus expecta</w:t>
      </w:r>
      <w:r w:rsidR="00F707DD">
        <w:t>tions</w:t>
      </w:r>
      <w:r w:rsidR="00854AD0" w:rsidRPr="00854AD0">
        <w:t>.</w:t>
      </w:r>
      <w:r w:rsidR="00F707DD">
        <w:t xml:space="preserve"> The fall was </w:t>
      </w:r>
      <w:r w:rsidR="00E31214">
        <w:t xml:space="preserve">largely due to base effects </w:t>
      </w:r>
      <w:r w:rsidR="00C21840">
        <w:t xml:space="preserve">and </w:t>
      </w:r>
      <w:r w:rsidR="007D0DA0">
        <w:t>a larger drag from the fuel category</w:t>
      </w:r>
      <w:r w:rsidR="00991728">
        <w:t xml:space="preserve"> and will prove temporary</w:t>
      </w:r>
      <w:r w:rsidR="007D0DA0">
        <w:t xml:space="preserve">. </w:t>
      </w:r>
      <w:r w:rsidR="00D21991">
        <w:t>As a result, our inflation forecast is little changed, and we continue to expect CPI inflation to average 2.5% in 2024 and 2025.</w:t>
      </w:r>
    </w:p>
    <w:p w14:paraId="60F73BEE" w14:textId="0B03995C" w:rsidR="008F18A8" w:rsidRDefault="002453A2" w:rsidP="00B47441">
      <w:pPr>
        <w:pStyle w:val="Bullet"/>
      </w:pPr>
      <w:r>
        <w:t>I</w:t>
      </w:r>
      <w:r w:rsidR="00B47441">
        <w:t xml:space="preserve">nflation is likely </w:t>
      </w:r>
      <w:r w:rsidR="005C767F">
        <w:t xml:space="preserve">to </w:t>
      </w:r>
      <w:r w:rsidR="00B47441">
        <w:t xml:space="preserve">rebound strongly in October as Ofgem's higher energy price cap </w:t>
      </w:r>
      <w:r w:rsidR="00604CA4">
        <w:t xml:space="preserve">takes effect and September's base effects dissipate. </w:t>
      </w:r>
      <w:r w:rsidR="00CF0EC2">
        <w:t>I</w:t>
      </w:r>
      <w:r w:rsidR="002B31E4">
        <w:t xml:space="preserve">nflation </w:t>
      </w:r>
      <w:r w:rsidR="00273065">
        <w:t>will</w:t>
      </w:r>
      <w:r w:rsidR="002B31E4">
        <w:t xml:space="preserve"> </w:t>
      </w:r>
      <w:r w:rsidR="008B5533">
        <w:t xml:space="preserve">rise </w:t>
      </w:r>
      <w:r w:rsidR="00CF0EC2">
        <w:t xml:space="preserve">further around the turn of the year </w:t>
      </w:r>
      <w:r w:rsidR="006A738B">
        <w:t xml:space="preserve">as </w:t>
      </w:r>
      <w:r w:rsidR="00B14CF4">
        <w:t xml:space="preserve">base effects in the energy category </w:t>
      </w:r>
      <w:r w:rsidR="00B76889">
        <w:t>come into play</w:t>
      </w:r>
      <w:r w:rsidR="002525B7">
        <w:t xml:space="preserve"> and services inflation remains sticky.</w:t>
      </w:r>
    </w:p>
    <w:p w14:paraId="43143813" w14:textId="5F3D05BA" w:rsidR="0055087C" w:rsidRDefault="00D83A16" w:rsidP="00F70AB0">
      <w:r>
        <w:t xml:space="preserve">CPI inflation </w:t>
      </w:r>
      <w:r w:rsidR="008976AF">
        <w:t xml:space="preserve">slowed to 1.7% in September from 2.2% in August, </w:t>
      </w:r>
      <w:r w:rsidR="00674539">
        <w:t xml:space="preserve">a move which was </w:t>
      </w:r>
      <w:r w:rsidR="00183472">
        <w:t>consistent</w:t>
      </w:r>
      <w:r w:rsidR="00674539">
        <w:t xml:space="preserve"> with </w:t>
      </w:r>
      <w:hyperlink r:id="rId7" w:history="1">
        <w:r w:rsidR="00674539" w:rsidRPr="00183472">
          <w:rPr>
            <w:rStyle w:val="Hyperlink"/>
          </w:rPr>
          <w:t>our forecast</w:t>
        </w:r>
      </w:hyperlink>
      <w:r w:rsidR="00674539">
        <w:t xml:space="preserve"> but below </w:t>
      </w:r>
      <w:r w:rsidR="00183472">
        <w:t xml:space="preserve">consensus expectations. </w:t>
      </w:r>
      <w:r w:rsidR="00E7556F">
        <w:t xml:space="preserve">September's decline </w:t>
      </w:r>
      <w:r w:rsidR="008812E8">
        <w:t xml:space="preserve">had two key drivers. First, </w:t>
      </w:r>
      <w:r w:rsidR="00C07736">
        <w:t>services inflation fell to 4.9% from 5.</w:t>
      </w:r>
      <w:r w:rsidR="009F1B43">
        <w:t xml:space="preserve">6% in August, owing in large part to base effects following </w:t>
      </w:r>
      <w:r w:rsidR="003C172A">
        <w:t xml:space="preserve">a particularly strong outturn in September 2023. </w:t>
      </w:r>
      <w:r w:rsidR="00CE4E7B">
        <w:t xml:space="preserve">Second, a drop in oil prices </w:t>
      </w:r>
      <w:r w:rsidR="00E2487A">
        <w:t xml:space="preserve">meant petrol prices </w:t>
      </w:r>
      <w:r w:rsidR="00A43987">
        <w:t xml:space="preserve">fell </w:t>
      </w:r>
      <w:r w:rsidR="00E2487A">
        <w:t xml:space="preserve">3.9% m/m between August and September, </w:t>
      </w:r>
      <w:r w:rsidR="006A13BB">
        <w:t xml:space="preserve">versus a rise of similar magnitude </w:t>
      </w:r>
      <w:r w:rsidR="004524D5">
        <w:t>between those months last year. Elsewhere, RPI</w:t>
      </w:r>
      <w:r w:rsidR="00D96644">
        <w:t xml:space="preserve"> and RPIX both </w:t>
      </w:r>
      <w:r w:rsidR="00B5228E">
        <w:t>declined</w:t>
      </w:r>
      <w:r w:rsidR="00D96644">
        <w:t xml:space="preserve"> by 0.8ppts to 2.7% and 2% respectively.</w:t>
      </w:r>
    </w:p>
    <w:p w14:paraId="74B77236" w14:textId="52E57610" w:rsidR="00F70AB0" w:rsidRDefault="00F36A63" w:rsidP="00F70AB0">
      <w:r w:rsidRPr="00F36A63">
        <w:t xml:space="preserve">With today's data coming in broadly as expected, our inflation </w:t>
      </w:r>
      <w:r w:rsidR="00AE5280">
        <w:t>forecast</w:t>
      </w:r>
      <w:r w:rsidR="00AE5280" w:rsidRPr="00F36A63">
        <w:t xml:space="preserve"> </w:t>
      </w:r>
      <w:r w:rsidRPr="00F36A63">
        <w:t>is little changed compared with last month.</w:t>
      </w:r>
      <w:r>
        <w:t xml:space="preserve"> </w:t>
      </w:r>
      <w:r w:rsidR="00B5228E">
        <w:t xml:space="preserve">September's </w:t>
      </w:r>
      <w:r w:rsidR="006551F5">
        <w:t>fall</w:t>
      </w:r>
      <w:r w:rsidR="00B5228E">
        <w:t xml:space="preserve"> in inflation</w:t>
      </w:r>
      <w:r w:rsidR="006551F5">
        <w:t xml:space="preserve"> should prove temporary</w:t>
      </w:r>
      <w:r w:rsidR="00A75502">
        <w:t xml:space="preserve"> </w:t>
      </w:r>
      <w:r w:rsidR="00644926">
        <w:t>given that</w:t>
      </w:r>
      <w:r w:rsidR="00C520E6">
        <w:t xml:space="preserve"> the 10% rise in Ofgem's energy price cap </w:t>
      </w:r>
      <w:r w:rsidR="009C67BD">
        <w:t xml:space="preserve">came into force at the start of </w:t>
      </w:r>
      <w:r w:rsidR="00E254CF">
        <w:t xml:space="preserve">October and </w:t>
      </w:r>
      <w:r w:rsidR="003F39E0">
        <w:t>the base effect</w:t>
      </w:r>
      <w:r w:rsidR="00403D01">
        <w:t xml:space="preserve">s which weighed on September's reading </w:t>
      </w:r>
      <w:r w:rsidR="00202FBA">
        <w:t>should</w:t>
      </w:r>
      <w:r w:rsidR="00403D01">
        <w:t xml:space="preserve"> dissipate</w:t>
      </w:r>
      <w:r w:rsidR="00B82648">
        <w:t xml:space="preserve">. </w:t>
      </w:r>
      <w:r w:rsidR="00E254CF">
        <w:t xml:space="preserve">CPI </w:t>
      </w:r>
      <w:r w:rsidR="00D465B5">
        <w:t xml:space="preserve">inflation </w:t>
      </w:r>
      <w:r w:rsidR="008F049D">
        <w:t>is</w:t>
      </w:r>
      <w:r w:rsidR="00B21AAC">
        <w:t xml:space="preserve"> likely</w:t>
      </w:r>
      <w:r w:rsidR="005C767F">
        <w:t xml:space="preserve"> to</w:t>
      </w:r>
      <w:r w:rsidR="00B21AAC">
        <w:t xml:space="preserve"> drift higher around the turn of the year, </w:t>
      </w:r>
      <w:r w:rsidR="0068085D">
        <w:t>owing to the fading drag from the energy category</w:t>
      </w:r>
      <w:r w:rsidR="00A21859">
        <w:t xml:space="preserve">. This should more than offset </w:t>
      </w:r>
      <w:r w:rsidR="00401630">
        <w:t>a slight easing in core inflation</w:t>
      </w:r>
      <w:r w:rsidR="0068085D">
        <w:t>.</w:t>
      </w:r>
    </w:p>
    <w:p w14:paraId="481DECBB" w14:textId="178F5AED" w:rsidR="00F36A63" w:rsidRPr="00F36A63" w:rsidRDefault="00F36A63" w:rsidP="00F36A63">
      <w:r w:rsidRPr="00F36A63">
        <w:t xml:space="preserve">We have incorporated a slightly weaker outlook for fuel prices </w:t>
      </w:r>
      <w:r w:rsidR="00202FBA">
        <w:t>into our forecast</w:t>
      </w:r>
      <w:r w:rsidR="005664D1">
        <w:t xml:space="preserve">. </w:t>
      </w:r>
      <w:r w:rsidR="00027149">
        <w:t xml:space="preserve">While oil prices remain volatile, </w:t>
      </w:r>
      <w:hyperlink r:id="rId8" w:history="1">
        <w:r w:rsidR="00027149" w:rsidRPr="00027149">
          <w:rPr>
            <w:rStyle w:val="Hyperlink"/>
          </w:rPr>
          <w:t>our Commodities Team</w:t>
        </w:r>
      </w:hyperlink>
      <w:r w:rsidR="005664D1">
        <w:t xml:space="preserve"> has revised their 2025 oil price projection</w:t>
      </w:r>
      <w:r w:rsidR="00AF284C">
        <w:t xml:space="preserve"> </w:t>
      </w:r>
      <w:r w:rsidR="00B11C52">
        <w:t xml:space="preserve">downwards </w:t>
      </w:r>
      <w:r w:rsidR="00AF284C">
        <w:t xml:space="preserve">by 6% on the basis that </w:t>
      </w:r>
      <w:r w:rsidR="00A42E51">
        <w:t xml:space="preserve">the price impact of </w:t>
      </w:r>
      <w:r w:rsidR="00202FBA">
        <w:t xml:space="preserve">the </w:t>
      </w:r>
      <w:r w:rsidR="00A42E51">
        <w:t>ongoing conflict in the Middle</w:t>
      </w:r>
      <w:r w:rsidR="00B1439A">
        <w:t xml:space="preserve"> </w:t>
      </w:r>
      <w:r w:rsidR="00A42E51">
        <w:t>East should prove transitory</w:t>
      </w:r>
      <w:r w:rsidR="00FF4414">
        <w:t>, while there are signs of a supply glut and weaker demand from the US and China</w:t>
      </w:r>
      <w:r w:rsidR="00202FBA">
        <w:t xml:space="preserve">. </w:t>
      </w:r>
      <w:r w:rsidR="00F61E4B">
        <w:t xml:space="preserve">However, </w:t>
      </w:r>
      <w:r w:rsidR="00C757D4">
        <w:t xml:space="preserve">this shift wasn't enough to materially alter our annual CPI inflation forecast, </w:t>
      </w:r>
      <w:r w:rsidR="00A36E57">
        <w:t xml:space="preserve">which remains at 2.5% </w:t>
      </w:r>
      <w:r w:rsidR="00E07650">
        <w:t xml:space="preserve">this year and </w:t>
      </w:r>
      <w:r w:rsidR="00A36E57">
        <w:t>next.</w:t>
      </w:r>
    </w:p>
    <w:p w14:paraId="75DCB1C9" w14:textId="1F1E1A96" w:rsidR="008F18A8" w:rsidRDefault="008F18A8" w:rsidP="00F70AB0">
      <w:pPr>
        <w:pStyle w:val="ExhibitTitle"/>
        <w:jc w:val="center"/>
      </w:pPr>
      <w:r>
        <w:t xml:space="preserve">Chart </w:t>
      </w:r>
      <w:r>
        <w:fldChar w:fldCharType="begin"/>
      </w:r>
      <w:r w:rsidR="006D1697">
        <w:instrText>SEQ CHART</w:instrText>
      </w:r>
      <w:r>
        <w:fldChar w:fldCharType="separate"/>
      </w:r>
      <w:r w:rsidR="006D1697">
        <w:rPr>
          <w:noProof/>
        </w:rPr>
        <w:t>1</w:t>
      </w:r>
      <w:r>
        <w:fldChar w:fldCharType="end"/>
      </w:r>
      <w:r>
        <w:t xml:space="preserve">: </w:t>
      </w:r>
      <w:r w:rsidR="00A36E57">
        <w:t>CPI inflation is forecast to average 2.5% in 2024 and 2025</w:t>
      </w:r>
    </w:p>
    <w:p w14:paraId="534CF0AD" w14:textId="7FC35DE3" w:rsidR="00F70AB0" w:rsidRDefault="00F70AB0" w:rsidP="00F70AB0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4F5D816" wp14:editId="4006A8A3">
            <wp:extent cx="4006964" cy="3145495"/>
            <wp:effectExtent l="0" t="0" r="0" b="0"/>
            <wp:docPr id="125147263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26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A525" w14:textId="36F5E12F" w:rsidR="00673B00" w:rsidRDefault="00F70AB0" w:rsidP="00F70AB0">
      <w:pPr>
        <w:pStyle w:val="ExhibitSource"/>
        <w:jc w:val="center"/>
      </w:pPr>
      <w:r>
        <w:t>Source: Oxford Economics, Haver Analytics</w:t>
      </w:r>
    </w:p>
    <w:p w14:paraId="0CB0334C" w14:textId="77777777" w:rsidR="006D1697" w:rsidRPr="006D1697" w:rsidRDefault="006D1697" w:rsidP="00452C31"/>
    <w:sectPr w:rsidR="006D1697" w:rsidRPr="006D1697" w:rsidSect="00F70AB0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0D814" w14:textId="77777777" w:rsidR="00873D82" w:rsidRDefault="00873D82" w:rsidP="008F18A8">
      <w:pPr>
        <w:spacing w:before="0" w:after="0"/>
      </w:pPr>
      <w:r>
        <w:separator/>
      </w:r>
    </w:p>
  </w:endnote>
  <w:endnote w:type="continuationSeparator" w:id="0">
    <w:p w14:paraId="05B5136D" w14:textId="77777777" w:rsidR="00873D82" w:rsidRDefault="00873D82" w:rsidP="008F18A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9F2ED" w14:textId="048552B6" w:rsidR="008F18A8" w:rsidRDefault="008F18A8" w:rsidP="008F18A8">
    <w:pPr>
      <w:pStyle w:val="Author"/>
    </w:pPr>
    <w:r>
      <w:t>Edward Allenby</w:t>
    </w:r>
    <w:r w:rsidR="00452C31">
      <w:t xml:space="preserve"> - </w:t>
    </w:r>
    <w:r>
      <w:t>UK Economist</w:t>
    </w:r>
    <w:r w:rsidR="00452C31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0864E" w14:textId="77777777" w:rsidR="00873D82" w:rsidRDefault="00873D82" w:rsidP="008F18A8">
      <w:pPr>
        <w:spacing w:before="0" w:after="0"/>
      </w:pPr>
      <w:r>
        <w:separator/>
      </w:r>
    </w:p>
  </w:footnote>
  <w:footnote w:type="continuationSeparator" w:id="0">
    <w:p w14:paraId="77FAEC36" w14:textId="77777777" w:rsidR="00873D82" w:rsidRDefault="00873D82" w:rsidP="008F18A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F68BD" w14:textId="77777777" w:rsidR="008F18A8" w:rsidRDefault="008F18A8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B918D" w14:textId="77777777" w:rsidR="008F18A8" w:rsidRDefault="008F18A8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125B7" w14:textId="115215E9" w:rsidR="008F18A8" w:rsidRDefault="008F18A8" w:rsidP="008F18A8">
    <w:r w:rsidRPr="008F18A8">
      <w:rPr>
        <w:noProof/>
      </w:rPr>
      <w:drawing>
        <wp:anchor distT="0" distB="0" distL="114300" distR="114300" simplePos="0" relativeHeight="251659264" behindDoc="1" locked="1" layoutInCell="1" allowOverlap="1" wp14:anchorId="151F5321" wp14:editId="66B0B19E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787934130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469867046"/>
      <w:lock w:val="sdtLocked"/>
      <w:placeholder>
        <w:docPart w:val="DefaultPlaceholder_-1854013437"/>
      </w:placeholder>
      <w:date w:fullDate="2024-10-16T00:00:00Z">
        <w:dateFormat w:val="d MMMM yyyy"/>
        <w:lid w:val="en-GB"/>
        <w:storeMappedDataAs w:val="dateTime"/>
        <w:calendar w:val="gregorian"/>
      </w:date>
    </w:sdtPr>
    <w:sdtEndPr/>
    <w:sdtContent>
      <w:p w14:paraId="06AD2FC0" w14:textId="5E7A206C" w:rsidR="008F18A8" w:rsidRDefault="008F18A8" w:rsidP="008F18A8">
        <w:pPr>
          <w:pStyle w:val="PublishDate"/>
          <w:framePr w:w="2835" w:h="340" w:hRule="exact" w:hSpace="180" w:wrap="around" w:vAnchor="page" w:hAnchor="page" w:x="7801" w:y="601" w:anchorLock="1"/>
        </w:pPr>
        <w:r>
          <w:t>16 October 2024</w:t>
        </w:r>
      </w:p>
    </w:sdtContent>
  </w:sdt>
  <w:p w14:paraId="7ECDA908" w14:textId="5C164F75" w:rsidR="008F18A8" w:rsidRDefault="008F18A8" w:rsidP="008F18A8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498A789B" w14:textId="04F16B4E" w:rsidR="008F18A8" w:rsidRDefault="00BB02DF" w:rsidP="008F18A8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CPI inflation remains on track </w:t>
    </w:r>
    <w:r w:rsidR="006E65AA">
      <w:t>to average 2.5% this year and next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  <w:lvlOverride w:ilvl="0">
      <w:startOverride w:val="1"/>
    </w:lvlOverride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A8"/>
    <w:rsid w:val="00000499"/>
    <w:rsid w:val="00010C32"/>
    <w:rsid w:val="00021E93"/>
    <w:rsid w:val="00027149"/>
    <w:rsid w:val="0006140C"/>
    <w:rsid w:val="00183472"/>
    <w:rsid w:val="001C1244"/>
    <w:rsid w:val="001C46D9"/>
    <w:rsid w:val="00201E8E"/>
    <w:rsid w:val="00202FBA"/>
    <w:rsid w:val="00235C14"/>
    <w:rsid w:val="002453A2"/>
    <w:rsid w:val="002525B7"/>
    <w:rsid w:val="00273065"/>
    <w:rsid w:val="002A5B35"/>
    <w:rsid w:val="002A7A58"/>
    <w:rsid w:val="002B0672"/>
    <w:rsid w:val="002B2F8A"/>
    <w:rsid w:val="002B31E4"/>
    <w:rsid w:val="002B647B"/>
    <w:rsid w:val="002E6BE5"/>
    <w:rsid w:val="00344963"/>
    <w:rsid w:val="003C172A"/>
    <w:rsid w:val="003F39E0"/>
    <w:rsid w:val="00401630"/>
    <w:rsid w:val="00403D01"/>
    <w:rsid w:val="00416A1B"/>
    <w:rsid w:val="004268F0"/>
    <w:rsid w:val="00434976"/>
    <w:rsid w:val="00435FAB"/>
    <w:rsid w:val="004524D5"/>
    <w:rsid w:val="00452C31"/>
    <w:rsid w:val="00474BE3"/>
    <w:rsid w:val="004B683F"/>
    <w:rsid w:val="004C2FD5"/>
    <w:rsid w:val="004D26A0"/>
    <w:rsid w:val="004E0046"/>
    <w:rsid w:val="00504CB8"/>
    <w:rsid w:val="00517482"/>
    <w:rsid w:val="005212C0"/>
    <w:rsid w:val="0055087C"/>
    <w:rsid w:val="005664D1"/>
    <w:rsid w:val="005C767F"/>
    <w:rsid w:val="005E15F6"/>
    <w:rsid w:val="005E57DF"/>
    <w:rsid w:val="00604CA4"/>
    <w:rsid w:val="00644926"/>
    <w:rsid w:val="006551F5"/>
    <w:rsid w:val="00655C12"/>
    <w:rsid w:val="0065705C"/>
    <w:rsid w:val="00673B00"/>
    <w:rsid w:val="00674539"/>
    <w:rsid w:val="0068085D"/>
    <w:rsid w:val="006A13BB"/>
    <w:rsid w:val="006A738B"/>
    <w:rsid w:val="006C1820"/>
    <w:rsid w:val="006D1697"/>
    <w:rsid w:val="006E65AA"/>
    <w:rsid w:val="00720D3C"/>
    <w:rsid w:val="00751CE4"/>
    <w:rsid w:val="00796264"/>
    <w:rsid w:val="007A4004"/>
    <w:rsid w:val="007D0DA0"/>
    <w:rsid w:val="007E1786"/>
    <w:rsid w:val="00854AD0"/>
    <w:rsid w:val="008553E2"/>
    <w:rsid w:val="00873D82"/>
    <w:rsid w:val="00873E0E"/>
    <w:rsid w:val="008812E8"/>
    <w:rsid w:val="00883821"/>
    <w:rsid w:val="008976AF"/>
    <w:rsid w:val="008B5533"/>
    <w:rsid w:val="008F049D"/>
    <w:rsid w:val="008F18A8"/>
    <w:rsid w:val="00900C38"/>
    <w:rsid w:val="00991728"/>
    <w:rsid w:val="009C67BD"/>
    <w:rsid w:val="009F1B43"/>
    <w:rsid w:val="009F7A64"/>
    <w:rsid w:val="00A048C0"/>
    <w:rsid w:val="00A21859"/>
    <w:rsid w:val="00A36E57"/>
    <w:rsid w:val="00A42E51"/>
    <w:rsid w:val="00A43987"/>
    <w:rsid w:val="00A75502"/>
    <w:rsid w:val="00A911E4"/>
    <w:rsid w:val="00AE5280"/>
    <w:rsid w:val="00AF284C"/>
    <w:rsid w:val="00B01419"/>
    <w:rsid w:val="00B015B1"/>
    <w:rsid w:val="00B11C52"/>
    <w:rsid w:val="00B1439A"/>
    <w:rsid w:val="00B14CF4"/>
    <w:rsid w:val="00B21AAC"/>
    <w:rsid w:val="00B47441"/>
    <w:rsid w:val="00B5228E"/>
    <w:rsid w:val="00B76889"/>
    <w:rsid w:val="00B82648"/>
    <w:rsid w:val="00B830C3"/>
    <w:rsid w:val="00B83579"/>
    <w:rsid w:val="00BB02DF"/>
    <w:rsid w:val="00C07736"/>
    <w:rsid w:val="00C17628"/>
    <w:rsid w:val="00C21840"/>
    <w:rsid w:val="00C27478"/>
    <w:rsid w:val="00C32E89"/>
    <w:rsid w:val="00C520E6"/>
    <w:rsid w:val="00C522DC"/>
    <w:rsid w:val="00C757D4"/>
    <w:rsid w:val="00C85803"/>
    <w:rsid w:val="00CD32BB"/>
    <w:rsid w:val="00CE4E7B"/>
    <w:rsid w:val="00CF0EC2"/>
    <w:rsid w:val="00D21991"/>
    <w:rsid w:val="00D3530F"/>
    <w:rsid w:val="00D465B5"/>
    <w:rsid w:val="00D83A16"/>
    <w:rsid w:val="00D96644"/>
    <w:rsid w:val="00DA347A"/>
    <w:rsid w:val="00DE12F7"/>
    <w:rsid w:val="00DF77DA"/>
    <w:rsid w:val="00E07650"/>
    <w:rsid w:val="00E15D76"/>
    <w:rsid w:val="00E2487A"/>
    <w:rsid w:val="00E254CF"/>
    <w:rsid w:val="00E31214"/>
    <w:rsid w:val="00E47A46"/>
    <w:rsid w:val="00E7556F"/>
    <w:rsid w:val="00E90B30"/>
    <w:rsid w:val="00EA3205"/>
    <w:rsid w:val="00EC5598"/>
    <w:rsid w:val="00EC78F4"/>
    <w:rsid w:val="00ED3FEE"/>
    <w:rsid w:val="00F04473"/>
    <w:rsid w:val="00F1368A"/>
    <w:rsid w:val="00F36A63"/>
    <w:rsid w:val="00F61E4B"/>
    <w:rsid w:val="00F707DD"/>
    <w:rsid w:val="00F70AB0"/>
    <w:rsid w:val="00F73A4A"/>
    <w:rsid w:val="00FB2E66"/>
    <w:rsid w:val="00FE2801"/>
    <w:rsid w:val="00FF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DC929"/>
  <w15:chartTrackingRefBased/>
  <w15:docId w15:val="{8AF65053-245F-4EB9-B7ED-54C07B6B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8A8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8A8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18A8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8A8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8A8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8F18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8F18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8F18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8F18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8F18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8F18A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8A8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18A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8A8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F18A8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18A8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18A8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F18A8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F18A8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A8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A8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A8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A8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8F18A8"/>
    <w:rPr>
      <w:noProof w:val="0"/>
    </w:rPr>
  </w:style>
  <w:style w:type="character" w:styleId="Hyperlink">
    <w:name w:val="Hyperlink"/>
    <w:basedOn w:val="DefaultParagraphFont"/>
    <w:uiPriority w:val="99"/>
    <w:unhideWhenUsed/>
    <w:rsid w:val="008F18A8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8F18A8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8F18A8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8F18A8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8F18A8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8F18A8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8F18A8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8F18A8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8F18A8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8F18A8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8F18A8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18A8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A8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8F18A8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8F18A8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8F18A8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8F18A8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8F18A8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8F18A8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8F18A8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8F18A8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8F18A8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8F18A8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F18A8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8F18A8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8F18A8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8F18A8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8F18A8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8F18A8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8F18A8"/>
    <w:rPr>
      <w:b/>
      <w:bCs/>
      <w:noProof w:val="0"/>
    </w:rPr>
  </w:style>
  <w:style w:type="character" w:customStyle="1" w:styleId="Italics">
    <w:name w:val="Italics"/>
    <w:uiPriority w:val="1"/>
    <w:qFormat/>
    <w:rsid w:val="008F18A8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8F18A8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oxfordeconomics.com/chapters/d8437eF60bC8492494fC14/GlobalMiddleEastesc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action/7ea52eae829A4D4e869722/Toc" TargetMode="Externa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C34B9-8C31-4AAE-834C-B8B9ECCA9D96}"/>
      </w:docPartPr>
      <w:docPartBody>
        <w:p w:rsidR="00FE2CD2" w:rsidRDefault="00FE2CD2">
          <w:r w:rsidRPr="00581E90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D2"/>
    <w:rsid w:val="00B618B2"/>
    <w:rsid w:val="00CF78E1"/>
    <w:rsid w:val="00FE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427</Words>
  <Characters>2123</Characters>
  <Application>Microsoft Office Word</Application>
  <DocSecurity>0</DocSecurity>
  <Lines>28</Lines>
  <Paragraphs>9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20</cp:revision>
  <dcterms:created xsi:type="dcterms:W3CDTF">2024-10-16T11:22:00Z</dcterms:created>
  <dcterms:modified xsi:type="dcterms:W3CDTF">2024-10-16T11:41:00Z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v0.8.0.8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2024-10-16T11:37:31.000Z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v0.8.0.8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Themes:inflation,energy prices,forecast</vt:lpwstr>
  </property>
  <property fmtid="{D5CDD505-2E9C-101B-9397-08002B2CF9AE}" pid="16" name="OEP_DATA_FILEPATH">
    <vt:lpwstr>Z:\UK Team\Inflation Model\20241016 UK IF.xlsx</vt:lpwstr>
  </property>
  <property fmtid="{D5CDD505-2E9C-101B-9397-08002B2CF9AE}" pid="17" name="OEP_PRODUCT_CODE">
    <vt:lpwstr>9459630a142841D182Ab4a</vt:lpwstr>
  </property>
  <property fmtid="{D5CDD505-2E9C-101B-9397-08002B2CF9AE}" pid="18" name="OEP_PUBLISH_DATE">
    <vt:lpwstr/>
  </property>
</Properties>
</file>