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157DF" w14:textId="0D0FDCB2" w:rsidR="00986C02" w:rsidRPr="00986C02" w:rsidRDefault="00986C02" w:rsidP="00986C02">
      <w:pPr>
        <w:pStyle w:val="Bullet"/>
      </w:pPr>
      <w:r w:rsidRPr="00986C02">
        <w:t>The</w:t>
      </w:r>
      <w:r w:rsidR="00CE2313">
        <w:t xml:space="preserve"> jump in UK CPI inflation in October reflected Ofgem's higher energy price cap and </w:t>
      </w:r>
      <w:r w:rsidR="00780A01">
        <w:t>the</w:t>
      </w:r>
      <w:r w:rsidR="00CE2313">
        <w:t xml:space="preserve"> unwinding of a large base effect in September's outturn. We think inflation will rise in the near-term as further base effects come into play. In particular, core goods inflation should climb higher </w:t>
      </w:r>
      <w:r w:rsidR="00EB75BA">
        <w:t>from next month</w:t>
      </w:r>
      <w:r w:rsidR="00CE2313">
        <w:t xml:space="preserve">, then from next spring the drag from energy should cease. </w:t>
      </w:r>
    </w:p>
    <w:p w14:paraId="2EBF043A" w14:textId="2787CDCB" w:rsidR="00376B73" w:rsidRDefault="00CE2313" w:rsidP="00986C02">
      <w:pPr>
        <w:pStyle w:val="Bullet"/>
      </w:pPr>
      <w:r>
        <w:t xml:space="preserve">Policy measures announced in last month's Budget and the </w:t>
      </w:r>
      <w:r w:rsidR="00EB75BA">
        <w:t>likelihood of a stronger dollar after</w:t>
      </w:r>
      <w:r>
        <w:t xml:space="preserve"> the US election </w:t>
      </w:r>
      <w:r w:rsidR="00EB75BA">
        <w:t>result mean</w:t>
      </w:r>
      <w:r>
        <w:t xml:space="preserve"> we have raised our 2025 CPI inflation forecast to 2.8%, from 2.5% last month.</w:t>
      </w:r>
    </w:p>
    <w:p w14:paraId="569A700B" w14:textId="2F3FFBA2" w:rsidR="00984A17" w:rsidRDefault="00546D23" w:rsidP="00376B73">
      <w:r>
        <w:t xml:space="preserve">CPI inflation rose to 2.3% in October, </w:t>
      </w:r>
      <w:r w:rsidR="00902EA0">
        <w:t xml:space="preserve">from 1.7% in September. The upturn reflected two key drivers. First, there was a much smaller drag from the energy category, as Ofgem's 9.5% hike in the energy price cap took effect. Second, a large base effect that weighed on core inflation in September unwound. These upward pressures were partly offset by a </w:t>
      </w:r>
      <w:r w:rsidR="00EB75BA">
        <w:t>bigger drag from fuel – pump</w:t>
      </w:r>
      <w:r w:rsidR="00902EA0">
        <w:t xml:space="preserve"> prices fell by 2% m/m between September and October, versus a 1.7% m/m rise between those months last year. Elsewhere, RPI and RPIX inflation climbed to 3.4% and 2.8% respectively in October, from 2.7% and 2% in September.</w:t>
      </w:r>
    </w:p>
    <w:p w14:paraId="390937DC" w14:textId="144B3C18" w:rsidR="003F6A47" w:rsidRDefault="002B48A2" w:rsidP="00376B73">
      <w:r>
        <w:t xml:space="preserve">Base effects will play a </w:t>
      </w:r>
      <w:r w:rsidR="004D6842">
        <w:t>major</w:t>
      </w:r>
      <w:r>
        <w:t xml:space="preserve"> role in </w:t>
      </w:r>
      <w:r w:rsidR="00725D57">
        <w:t>pushing up</w:t>
      </w:r>
      <w:r>
        <w:t xml:space="preserve"> CPI inflation </w:t>
      </w:r>
      <w:r w:rsidR="00725D57">
        <w:t>over the next six months</w:t>
      </w:r>
      <w:r>
        <w:t xml:space="preserve">. In particular, </w:t>
      </w:r>
      <w:r w:rsidR="00EB75BA">
        <w:t xml:space="preserve">base effects caused by </w:t>
      </w:r>
      <w:r>
        <w:t xml:space="preserve">a series of weak outturns for core goods prices last winter should push up core inflation </w:t>
      </w:r>
      <w:r w:rsidR="00EB75BA">
        <w:t>from next month</w:t>
      </w:r>
      <w:r>
        <w:t xml:space="preserve">. </w:t>
      </w:r>
      <w:r w:rsidR="00EB75BA">
        <w:t>Similarly</w:t>
      </w:r>
      <w:r>
        <w:t xml:space="preserve">, </w:t>
      </w:r>
      <w:r w:rsidR="004D6842">
        <w:t xml:space="preserve">the drag from the energy category should disappear entirely from the </w:t>
      </w:r>
      <w:r w:rsidR="002B3854">
        <w:t>s</w:t>
      </w:r>
      <w:r w:rsidR="004D6842">
        <w:t xml:space="preserve">pring. </w:t>
      </w:r>
    </w:p>
    <w:p w14:paraId="444FA9DA" w14:textId="1304AAEC" w:rsidR="004D25DB" w:rsidRDefault="00725D57" w:rsidP="00376B73">
      <w:r>
        <w:t>Two r</w:t>
      </w:r>
      <w:r w:rsidR="004D6842">
        <w:t xml:space="preserve">ecent events suggest inflation is likely to be stronger next year than we had previously projected. </w:t>
      </w:r>
      <w:r w:rsidR="00C6720C">
        <w:t xml:space="preserve">We have raised our forecast for services inflation </w:t>
      </w:r>
      <w:r w:rsidR="0054273F">
        <w:t>in 2025</w:t>
      </w:r>
      <w:r w:rsidR="00C6720C">
        <w:t xml:space="preserve"> in response to </w:t>
      </w:r>
      <w:r w:rsidR="004D6842">
        <w:t>the</w:t>
      </w:r>
      <w:r w:rsidR="00BC4C01">
        <w:t xml:space="preserve"> </w:t>
      </w:r>
      <w:hyperlink r:id="rId7" w:history="1">
        <w:r w:rsidR="00C6720C" w:rsidRPr="001A0692">
          <w:rPr>
            <w:rStyle w:val="Hyperlink"/>
          </w:rPr>
          <w:t>Budget</w:t>
        </w:r>
      </w:hyperlink>
      <w:r>
        <w:t xml:space="preserve">, with </w:t>
      </w:r>
      <w:r w:rsidR="00C6720C">
        <w:t xml:space="preserve">VAT </w:t>
      </w:r>
      <w:r>
        <w:t xml:space="preserve">to be imposed </w:t>
      </w:r>
      <w:r w:rsidR="00C6720C">
        <w:t>on private school fees</w:t>
      </w:r>
      <w:r w:rsidR="00D3041A">
        <w:t xml:space="preserve"> </w:t>
      </w:r>
      <w:r>
        <w:t xml:space="preserve">from January </w:t>
      </w:r>
      <w:r w:rsidR="00D3041A">
        <w:t xml:space="preserve">and </w:t>
      </w:r>
      <w:r>
        <w:t xml:space="preserve">firms expected to pass on </w:t>
      </w:r>
      <w:r w:rsidR="00D3041A">
        <w:t xml:space="preserve">some of </w:t>
      </w:r>
      <w:r>
        <w:t xml:space="preserve">the impact of the increase in </w:t>
      </w:r>
      <w:r w:rsidR="00D3041A">
        <w:t>employer</w:t>
      </w:r>
      <w:r>
        <w:t>s'</w:t>
      </w:r>
      <w:r w:rsidR="00D3041A">
        <w:t xml:space="preserve"> national insurance contributions </w:t>
      </w:r>
      <w:r>
        <w:t>in</w:t>
      </w:r>
      <w:r w:rsidR="00D3041A">
        <w:t>to price</w:t>
      </w:r>
      <w:r w:rsidR="004D6842">
        <w:t>s</w:t>
      </w:r>
      <w:r w:rsidR="00D3041A">
        <w:t xml:space="preserve">. </w:t>
      </w:r>
      <w:r>
        <w:t xml:space="preserve">We also expect Donald Trump's victory in </w:t>
      </w:r>
      <w:r w:rsidR="001A0692">
        <w:t xml:space="preserve">the </w:t>
      </w:r>
      <w:hyperlink r:id="rId8" w:history="1">
        <w:r w:rsidRPr="00725D57">
          <w:rPr>
            <w:rStyle w:val="Hyperlink"/>
          </w:rPr>
          <w:t>US election</w:t>
        </w:r>
      </w:hyperlink>
      <w:r w:rsidRPr="007E659E">
        <w:t xml:space="preserve"> </w:t>
      </w:r>
      <w:r>
        <w:t xml:space="preserve">to result in a stronger US dollar, as </w:t>
      </w:r>
      <w:r w:rsidR="001A0692">
        <w:t>looser US fiscal policy</w:t>
      </w:r>
      <w:r>
        <w:t xml:space="preserve"> means fewer interest rate cuts from the Federal Reserve</w:t>
      </w:r>
      <w:r w:rsidR="001A0692">
        <w:t xml:space="preserve">. </w:t>
      </w:r>
      <w:r>
        <w:t xml:space="preserve">A weaker pound will mean higher inflation for imported goods. </w:t>
      </w:r>
      <w:r w:rsidR="001A0692">
        <w:t>As a result, we now expect CPI inflation to average 2.</w:t>
      </w:r>
      <w:r w:rsidR="0090026C">
        <w:t>8</w:t>
      </w:r>
      <w:r w:rsidR="001A0692">
        <w:t>% in 2025, 0.</w:t>
      </w:r>
      <w:r w:rsidR="0090026C">
        <w:t>3</w:t>
      </w:r>
      <w:r w:rsidR="001A0692">
        <w:t>ppts higher than in last month's forecast.</w:t>
      </w:r>
    </w:p>
    <w:p w14:paraId="6FE5B1D3" w14:textId="57672BD1" w:rsidR="00376B73" w:rsidRDefault="00376B73" w:rsidP="004D25DB">
      <w:pPr>
        <w:pStyle w:val="ExhibitTitle"/>
        <w:jc w:val="center"/>
      </w:pPr>
      <w:r>
        <w:t xml:space="preserve">Chart </w:t>
      </w:r>
      <w:r>
        <w:fldChar w:fldCharType="begin"/>
      </w:r>
      <w:r w:rsidR="00452C02">
        <w:instrText>SEQ CHART</w:instrText>
      </w:r>
      <w:r>
        <w:fldChar w:fldCharType="separate"/>
      </w:r>
      <w:r w:rsidR="00452C02">
        <w:rPr>
          <w:noProof/>
        </w:rPr>
        <w:t>1</w:t>
      </w:r>
      <w:r>
        <w:fldChar w:fldCharType="end"/>
      </w:r>
      <w:r>
        <w:t xml:space="preserve">: </w:t>
      </w:r>
      <w:r w:rsidR="003F6A47">
        <w:t>We have raised our 2025 CPI inflation forecast to 2.</w:t>
      </w:r>
      <w:r w:rsidR="0090026C">
        <w:t>8</w:t>
      </w:r>
      <w:r w:rsidR="003F6A47">
        <w:t>%</w:t>
      </w:r>
    </w:p>
    <w:p w14:paraId="50284AE0" w14:textId="4400DE2D" w:rsidR="004D25DB" w:rsidRDefault="004D25DB" w:rsidP="004D25DB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0584933" wp14:editId="4BFAA749">
            <wp:extent cx="4006964" cy="3145495"/>
            <wp:effectExtent l="0" t="0" r="0" b="0"/>
            <wp:docPr id="65753613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361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0AC4" w14:textId="0922A3BD" w:rsidR="00673B00" w:rsidRDefault="004D25DB" w:rsidP="004D25DB">
      <w:pPr>
        <w:pStyle w:val="ExhibitSource"/>
        <w:jc w:val="center"/>
      </w:pPr>
      <w:r>
        <w:t>Source: Oxford Economics, Haver Analytics</w:t>
      </w:r>
    </w:p>
    <w:p w14:paraId="481B110B" w14:textId="77777777" w:rsidR="00452C02" w:rsidRPr="00452C02" w:rsidRDefault="00452C02" w:rsidP="001072CC"/>
    <w:sectPr w:rsidR="00452C02" w:rsidRPr="00452C02" w:rsidSect="004D25DB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7FE8C" w14:textId="77777777" w:rsidR="00376B73" w:rsidRDefault="00376B73" w:rsidP="00376B73">
      <w:pPr>
        <w:spacing w:before="0" w:after="0"/>
      </w:pPr>
      <w:r>
        <w:separator/>
      </w:r>
    </w:p>
  </w:endnote>
  <w:endnote w:type="continuationSeparator" w:id="0">
    <w:p w14:paraId="00BC8D1E" w14:textId="77777777" w:rsidR="00376B73" w:rsidRDefault="00376B73" w:rsidP="00376B7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B5ED9" w14:textId="0B14AE99" w:rsidR="00376B73" w:rsidRDefault="00376B73" w:rsidP="00376B73">
    <w:pPr>
      <w:pStyle w:val="Author"/>
    </w:pPr>
    <w:r>
      <w:t>Edward Allenby</w:t>
    </w:r>
    <w:r w:rsidR="001072CC">
      <w:t xml:space="preserve"> - </w:t>
    </w:r>
    <w:r>
      <w:t>UK Economist</w:t>
    </w:r>
    <w:r w:rsidR="001072CC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23564" w14:textId="77777777" w:rsidR="00376B73" w:rsidRDefault="00376B73" w:rsidP="00376B73">
      <w:pPr>
        <w:spacing w:before="0" w:after="0"/>
      </w:pPr>
      <w:r>
        <w:separator/>
      </w:r>
    </w:p>
  </w:footnote>
  <w:footnote w:type="continuationSeparator" w:id="0">
    <w:p w14:paraId="699D7426" w14:textId="77777777" w:rsidR="00376B73" w:rsidRDefault="00376B73" w:rsidP="00376B7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E2E33" w14:textId="77777777" w:rsidR="00376B73" w:rsidRDefault="00376B73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E55A6" w14:textId="77777777" w:rsidR="00376B73" w:rsidRDefault="00376B73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CF24F" w14:textId="4C28ABF0" w:rsidR="00376B73" w:rsidRDefault="00376B73" w:rsidP="00376B73">
    <w:r w:rsidRPr="00376B73">
      <w:rPr>
        <w:noProof/>
      </w:rPr>
      <w:drawing>
        <wp:anchor distT="0" distB="0" distL="114300" distR="114300" simplePos="0" relativeHeight="251659264" behindDoc="1" locked="1" layoutInCell="1" allowOverlap="1" wp14:anchorId="4F5902C2" wp14:editId="24425EF3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1380971754"/>
      <w:lock w:val="sdtLocked"/>
      <w:placeholder>
        <w:docPart w:val="DefaultPlaceholder_-1854013437"/>
      </w:placeholder>
      <w:date w:fullDate="2024-11-20T00:00:00Z">
        <w:dateFormat w:val="d MMMM yyyy"/>
        <w:lid w:val="en-GB"/>
        <w:storeMappedDataAs w:val="dateTime"/>
        <w:calendar w:val="gregorian"/>
      </w:date>
    </w:sdtPr>
    <w:sdtEndPr/>
    <w:sdtContent>
      <w:p w14:paraId="616382AE" w14:textId="62F73517" w:rsidR="00376B73" w:rsidRDefault="00984A17" w:rsidP="00376B73">
        <w:pPr>
          <w:pStyle w:val="PublishDate"/>
          <w:framePr w:w="2835" w:h="340" w:hRule="exact" w:hSpace="180" w:wrap="around" w:vAnchor="page" w:hAnchor="page" w:x="7801" w:y="601" w:anchorLock="1"/>
        </w:pPr>
        <w:r>
          <w:t>20</w:t>
        </w:r>
        <w:r w:rsidR="00376B73">
          <w:t xml:space="preserve"> November 2024</w:t>
        </w:r>
      </w:p>
    </w:sdtContent>
  </w:sdt>
  <w:p w14:paraId="2797B905" w14:textId="5D036D28" w:rsidR="00376B73" w:rsidRDefault="00984A17" w:rsidP="00376B73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</w:t>
    </w:r>
    <w:r w:rsidR="00376B73">
      <w:t xml:space="preserve"> | </w:t>
    </w:r>
    <w:r>
      <w:t>UK</w:t>
    </w:r>
  </w:p>
  <w:p w14:paraId="2B3132C2" w14:textId="395BE592" w:rsidR="00376B73" w:rsidRDefault="004D25DB" w:rsidP="00376B73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Budget measures and </w:t>
    </w:r>
    <w:r w:rsidR="00EB75BA">
      <w:t>strong dollar</w:t>
    </w:r>
    <w:r>
      <w:t xml:space="preserve"> raise 2025 inflation 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  <w:lvlOverride w:ilvl="0">
      <w:startOverride w:val="1"/>
    </w:lvlOverride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73"/>
    <w:rsid w:val="000432C0"/>
    <w:rsid w:val="001072CC"/>
    <w:rsid w:val="001A0692"/>
    <w:rsid w:val="00235C14"/>
    <w:rsid w:val="00246668"/>
    <w:rsid w:val="002A0613"/>
    <w:rsid w:val="002B3854"/>
    <w:rsid w:val="002B48A2"/>
    <w:rsid w:val="002E6BE5"/>
    <w:rsid w:val="00376B73"/>
    <w:rsid w:val="003F6A47"/>
    <w:rsid w:val="004020EB"/>
    <w:rsid w:val="00452C02"/>
    <w:rsid w:val="004D0074"/>
    <w:rsid w:val="004D25DB"/>
    <w:rsid w:val="004D6842"/>
    <w:rsid w:val="0054273F"/>
    <w:rsid w:val="00546D23"/>
    <w:rsid w:val="00673B00"/>
    <w:rsid w:val="00705869"/>
    <w:rsid w:val="00725D57"/>
    <w:rsid w:val="00780A01"/>
    <w:rsid w:val="007E659E"/>
    <w:rsid w:val="0090026C"/>
    <w:rsid w:val="00902EA0"/>
    <w:rsid w:val="00961D5B"/>
    <w:rsid w:val="00984A17"/>
    <w:rsid w:val="00986C02"/>
    <w:rsid w:val="00A12D25"/>
    <w:rsid w:val="00AE221B"/>
    <w:rsid w:val="00BC4C01"/>
    <w:rsid w:val="00C62AC4"/>
    <w:rsid w:val="00C6720C"/>
    <w:rsid w:val="00CE2313"/>
    <w:rsid w:val="00D3041A"/>
    <w:rsid w:val="00E90008"/>
    <w:rsid w:val="00EB75BA"/>
    <w:rsid w:val="00F6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4798C5B"/>
  <w15:chartTrackingRefBased/>
  <w15:docId w15:val="{096A7301-C415-4B65-A4EC-FEAA14B7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B73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B73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76B73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B73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6B73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376B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376B7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376B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376B7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376B7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376B7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B7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6B7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B7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76B73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6B73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6B73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76B73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76B73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B73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B73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B73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B73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376B73"/>
    <w:rPr>
      <w:noProof w:val="0"/>
    </w:rPr>
  </w:style>
  <w:style w:type="character" w:styleId="Hyperlink">
    <w:name w:val="Hyperlink"/>
    <w:basedOn w:val="DefaultParagraphFont"/>
    <w:uiPriority w:val="99"/>
    <w:unhideWhenUsed/>
    <w:rsid w:val="00376B73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376B73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376B73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376B73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376B73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376B73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376B73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376B73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376B73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376B73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376B73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6B73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B73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376B73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376B73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376B73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376B73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376B73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376B73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376B73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376B73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376B73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376B73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76B73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376B73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376B73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376B73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376B73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376B73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376B73"/>
    <w:rPr>
      <w:b/>
      <w:bCs/>
      <w:noProof w:val="0"/>
    </w:rPr>
  </w:style>
  <w:style w:type="character" w:customStyle="1" w:styleId="Italics">
    <w:name w:val="Italics"/>
    <w:uiPriority w:val="1"/>
    <w:qFormat/>
    <w:rsid w:val="00376B73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376B73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oxfordeconomics.com/reports/4499679ddb2749Fc93a7f0/USAdoptingtheLimited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s/6558E9Db95634cBc81c2d2" TargetMode="Externa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1B707-F800-4DBD-B235-A59931A25936}"/>
      </w:docPartPr>
      <w:docPartBody>
        <w:p w:rsidR="00505055" w:rsidRDefault="00505055">
          <w:r w:rsidRPr="00937168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55"/>
    <w:rsid w:val="0050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428</Words>
  <Characters>2084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11</cp:revision>
  <dcterms:created xsi:type="dcterms:W3CDTF">2024-11-20T11:57:00Z</dcterms:created>
  <dcterms:modified xsi:type="dcterms:W3CDTF">2024-11-20T12:10:00Z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v0.8.0.8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2024-11-20T12:06:27.000Z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v0.8.0.8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Themes:energy prices,inflation,forecast</vt:lpwstr>
  </property>
  <property fmtid="{D5CDD505-2E9C-101B-9397-08002B2CF9AE}" pid="16" name="OEP_DATA_FILEPATH">
    <vt:lpwstr>Z:\UK Team\Inflation Model\20241120 UK IF.xlsx</vt:lpwstr>
  </property>
  <property fmtid="{D5CDD505-2E9C-101B-9397-08002B2CF9AE}" pid="17" name="OEP_PRODUCT_CODE">
    <vt:lpwstr>b461c71adE504FFc90E113</vt:lpwstr>
  </property>
  <property fmtid="{D5CDD505-2E9C-101B-9397-08002B2CF9AE}" pid="18" name="OEP_PUBLISH_DATE">
    <vt:lpwstr/>
  </property>
</Properties>
</file>