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FD3DC" w14:textId="5EF058B2" w:rsidR="004B0CAE" w:rsidRDefault="00320DCF" w:rsidP="004B0CAE">
      <w:pPr>
        <w:pStyle w:val="Bullet"/>
      </w:pPr>
      <w:r>
        <w:t>We forecast that UK CPI inflation will average 2.8% in 2025, unchanged from last month</w:t>
      </w:r>
      <w:r w:rsidR="004B0CAE">
        <w:t>.</w:t>
      </w:r>
      <w:r>
        <w:t xml:space="preserve"> The fading drag from falling energy prices, a strong dollar, and recent fiscal policy changes will all put upward pressure on inflation in 2025.</w:t>
      </w:r>
    </w:p>
    <w:p w14:paraId="60286647" w14:textId="04E9B172" w:rsidR="004B0CAE" w:rsidRDefault="00320DCF" w:rsidP="004B0CAE">
      <w:pPr>
        <w:pStyle w:val="Bullet"/>
      </w:pPr>
      <w:r>
        <w:t xml:space="preserve">November's increase in </w:t>
      </w:r>
      <w:r w:rsidR="00707047">
        <w:t>the CPI rate</w:t>
      </w:r>
      <w:r>
        <w:t xml:space="preserve"> to 2.6%</w:t>
      </w:r>
      <w:r w:rsidR="00707047">
        <w:t>,</w:t>
      </w:r>
      <w:r>
        <w:t xml:space="preserve"> from 2.3%</w:t>
      </w:r>
      <w:r w:rsidR="006C4AC7">
        <w:t xml:space="preserve"> </w:t>
      </w:r>
      <w:r w:rsidR="00707047">
        <w:t xml:space="preserve">in October, </w:t>
      </w:r>
      <w:r>
        <w:t>was largely as expected</w:t>
      </w:r>
      <w:r w:rsidR="004B0CAE">
        <w:t>.</w:t>
      </w:r>
      <w:r>
        <w:t xml:space="preserve"> Base effects were the main driver of November's rise, after both core goods and fuel prices were unusually weak in November 2023. These base effects are likely to persist in the near-term, </w:t>
      </w:r>
      <w:r w:rsidR="005023E6">
        <w:t>pushing</w:t>
      </w:r>
      <w:r>
        <w:t xml:space="preserve"> inflation close to 3% by January.</w:t>
      </w:r>
    </w:p>
    <w:p w14:paraId="7AF8A18B" w14:textId="4B9D36BA" w:rsidR="00A71AFE" w:rsidRDefault="002F0BCB" w:rsidP="004B0CAE">
      <w:r w:rsidRPr="002F0BCB">
        <w:t xml:space="preserve">CPI inflation </w:t>
      </w:r>
      <w:r>
        <w:t>rose</w:t>
      </w:r>
      <w:r w:rsidRPr="002F0BCB">
        <w:t xml:space="preserve"> to 2.6% in November, from 2.3% in October. The rise was largely down to a base effect from a weak core goods reading in November 2023, and a smaller drag from the petrol category, with a modest rise in pump prices between November and December this year contrasting with a large fall between those months in 2023. </w:t>
      </w:r>
      <w:r>
        <w:t>S</w:t>
      </w:r>
      <w:r w:rsidRPr="002F0BCB">
        <w:t>ervices inflation</w:t>
      </w:r>
      <w:r w:rsidR="00AF37E7">
        <w:t xml:space="preserve"> </w:t>
      </w:r>
      <w:r w:rsidR="006C4AC7">
        <w:t>was unchanged</w:t>
      </w:r>
      <w:r w:rsidRPr="002F0BCB">
        <w:t xml:space="preserve"> at 5% in November</w:t>
      </w:r>
      <w:r w:rsidR="004B0CAE">
        <w:t>.</w:t>
      </w:r>
      <w:r>
        <w:t xml:space="preserve"> </w:t>
      </w:r>
      <w:r w:rsidR="00AF37E7">
        <w:t xml:space="preserve">Meanwhile, </w:t>
      </w:r>
      <w:r w:rsidR="0056084A">
        <w:t>RPI and RPIX inflation rose by 0.2ppts between October and November to reach 3.6% and 3%.</w:t>
      </w:r>
    </w:p>
    <w:p w14:paraId="65EE93C2" w14:textId="3D39B2AB" w:rsidR="00A71AFE" w:rsidRDefault="00044427" w:rsidP="00A71AFE">
      <w:r>
        <w:t xml:space="preserve">We continue to expect inflation to rise further around the turn of the year, as </w:t>
      </w:r>
      <w:r w:rsidR="006968CE">
        <w:t>more</w:t>
      </w:r>
      <w:r>
        <w:t xml:space="preserve"> base effects caused by weakness in core goods </w:t>
      </w:r>
      <w:r w:rsidR="00100F72">
        <w:t xml:space="preserve">and fuel </w:t>
      </w:r>
      <w:r>
        <w:t xml:space="preserve">prices last </w:t>
      </w:r>
      <w:r w:rsidR="00100F72">
        <w:t>winter</w:t>
      </w:r>
      <w:r>
        <w:t xml:space="preserve"> come into play.</w:t>
      </w:r>
    </w:p>
    <w:p w14:paraId="3B708A57" w14:textId="7A0BA0D8" w:rsidR="00A71AFE" w:rsidRDefault="00044427" w:rsidP="00A71AFE">
      <w:r>
        <w:t xml:space="preserve">Further out, our forecast is little changed compared with last month, with CPI inflation forecast to average 2.8% in 2025. The drag from falling energy prices has begun to recede and will disappear altogether from the spring. </w:t>
      </w:r>
      <w:r w:rsidR="0044762C">
        <w:t xml:space="preserve">Base effects in the core goods category will be compounded by the impact of a strong dollar, which will increase the price of imported goods. We expect softening pay growth and smaller increases for regulated and indexed prices to reduce some of the momentum behind services inflation in 2025. But there will be some mitigation from the impact of recent fiscal policy announcements. Firms are likely to pass on some of the </w:t>
      </w:r>
      <w:r w:rsidR="005E443D">
        <w:t>rise</w:t>
      </w:r>
      <w:r w:rsidR="0044762C">
        <w:t xml:space="preserve"> in costs caused by the increase in employers' national insurance contributions, while the imposition of VAT on private school fees will also exert modest upward pressure on inflation in 2025.</w:t>
      </w:r>
    </w:p>
    <w:p w14:paraId="6ABEFD57" w14:textId="52D0AB6D" w:rsidR="004B0CAE" w:rsidRDefault="004B0CAE" w:rsidP="00A71AFE">
      <w:pPr>
        <w:pStyle w:val="ExhibitTitle"/>
        <w:jc w:val="center"/>
      </w:pPr>
      <w:r>
        <w:t xml:space="preserve">Chart </w:t>
      </w:r>
      <w:r>
        <w:fldChar w:fldCharType="begin"/>
      </w:r>
      <w:r w:rsidR="00195344">
        <w:instrText>SEQ CHART</w:instrText>
      </w:r>
      <w:r>
        <w:fldChar w:fldCharType="separate"/>
      </w:r>
      <w:r w:rsidR="00195344">
        <w:rPr>
          <w:noProof/>
        </w:rPr>
        <w:t>1</w:t>
      </w:r>
      <w:r>
        <w:fldChar w:fldCharType="end"/>
      </w:r>
      <w:r>
        <w:t xml:space="preserve">: </w:t>
      </w:r>
      <w:r w:rsidR="00750155">
        <w:t xml:space="preserve">We expect inflation will continue to edge up and average close to 3% in 2025 </w:t>
      </w:r>
    </w:p>
    <w:p w14:paraId="2D8DF183" w14:textId="2634F984" w:rsidR="00A71AFE" w:rsidRDefault="00A71AFE" w:rsidP="00A71AFE">
      <w:pPr>
        <w:spacing w:after="0"/>
        <w:jc w:val="center"/>
        <w:rPr>
          <w:noProof/>
        </w:rPr>
      </w:pPr>
      <w:r>
        <w:rPr>
          <w:noProof/>
        </w:rPr>
        <w:drawing>
          <wp:inline distT="0" distB="0" distL="0" distR="0" wp14:anchorId="5954F885" wp14:editId="3CD5622B">
            <wp:extent cx="4006964" cy="3143047"/>
            <wp:effectExtent l="0" t="0" r="0" b="635"/>
            <wp:docPr id="173289841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98418" nam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b="1889"/>
                    <a:stretch>
                      <a:fillRect/>
                    </a:stretch>
                  </pic:blipFill>
                  <pic:spPr>
                    <a:xfrm>
                      <a:off x="0" y="0"/>
                      <a:ext cx="4006964" cy="3143047"/>
                    </a:xfrm>
                    <a:prstGeom prst="rect">
                      <a:avLst/>
                    </a:prstGeom>
                  </pic:spPr>
                </pic:pic>
              </a:graphicData>
            </a:graphic>
          </wp:inline>
        </w:drawing>
      </w:r>
    </w:p>
    <w:p w14:paraId="15C1A784" w14:textId="334E3A5C" w:rsidR="001A6993" w:rsidRDefault="00A71AFE" w:rsidP="00A71AFE">
      <w:pPr>
        <w:pStyle w:val="ExhibitSource"/>
        <w:jc w:val="center"/>
      </w:pPr>
      <w:r>
        <w:t>Source: Oxford Economics, Haver Analytics</w:t>
      </w:r>
    </w:p>
    <w:p w14:paraId="76AC637B" w14:textId="77777777" w:rsidR="00195344" w:rsidRPr="00195344" w:rsidRDefault="00195344" w:rsidP="00EA34C2"/>
    <w:sectPr w:rsidR="00195344" w:rsidRPr="00195344" w:rsidSect="00A71AFE">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ADC6B" w14:textId="77777777" w:rsidR="004B0CAE" w:rsidRDefault="004B0CAE" w:rsidP="004B0CAE">
      <w:pPr>
        <w:spacing w:before="0" w:after="0"/>
      </w:pPr>
      <w:r>
        <w:separator/>
      </w:r>
    </w:p>
  </w:endnote>
  <w:endnote w:type="continuationSeparator" w:id="0">
    <w:p w14:paraId="7D735CEE" w14:textId="77777777" w:rsidR="004B0CAE" w:rsidRDefault="004B0CAE" w:rsidP="004B0C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EA5C9" w14:textId="77777777" w:rsidR="004B0CAE" w:rsidRDefault="004B0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AEBD" w14:textId="77777777" w:rsidR="004B0CAE" w:rsidRDefault="004B0C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F468" w14:textId="000D9805" w:rsidR="004B0CAE" w:rsidRDefault="004B0CAE" w:rsidP="004B0CAE">
    <w:pPr>
      <w:pStyle w:val="Author"/>
    </w:pPr>
    <w:r>
      <w:t>Andrew Goodwin</w:t>
    </w:r>
    <w:r w:rsidR="00EA34C2">
      <w:t xml:space="preserve"> - </w:t>
    </w:r>
    <w:r>
      <w:t>Chief UK Economist</w:t>
    </w:r>
    <w:r w:rsidR="00EA34C2">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99777" w14:textId="77777777" w:rsidR="004B0CAE" w:rsidRDefault="004B0CAE" w:rsidP="004B0CAE">
      <w:pPr>
        <w:spacing w:before="0" w:after="0"/>
      </w:pPr>
      <w:r>
        <w:separator/>
      </w:r>
    </w:p>
  </w:footnote>
  <w:footnote w:type="continuationSeparator" w:id="0">
    <w:p w14:paraId="13C14A15" w14:textId="77777777" w:rsidR="004B0CAE" w:rsidRDefault="004B0CAE" w:rsidP="004B0CA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7C7E" w14:textId="77777777" w:rsidR="004B0CAE" w:rsidRDefault="004B0CAE">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34265" w14:textId="77777777" w:rsidR="004B0CAE" w:rsidRDefault="004B0CAE">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4DA4D" w14:textId="11884AA2" w:rsidR="004B0CAE" w:rsidRDefault="004B0CAE" w:rsidP="004B0CAE">
    <w:r w:rsidRPr="004B0CAE">
      <w:drawing>
        <wp:anchor distT="0" distB="0" distL="114300" distR="114300" simplePos="0" relativeHeight="251659264" behindDoc="1" locked="1" layoutInCell="1" allowOverlap="1" wp14:anchorId="34A3D7C2" wp14:editId="0C2F10D8">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977885976"/>
      <w:lock w:val="sdtLocked"/>
      <w:placeholder>
        <w:docPart w:val="DefaultPlaceholder_-1854013437"/>
      </w:placeholder>
      <w:date w:fullDate="2024-12-18T00:00:00Z">
        <w:dateFormat w:val="d MMMM yyyy"/>
        <w:lid w:val="en-GB"/>
        <w:storeMappedDataAs w:val="dateTime"/>
        <w:calendar w:val="gregorian"/>
      </w:date>
    </w:sdtPr>
    <w:sdtContent>
      <w:p w14:paraId="6CE7DAEB" w14:textId="1AF3E666" w:rsidR="004B0CAE" w:rsidRDefault="004B0CAE" w:rsidP="004B0CAE">
        <w:pPr>
          <w:pStyle w:val="PublishDate"/>
          <w:framePr w:w="2835" w:h="340" w:hRule="exact" w:hSpace="180" w:wrap="around" w:vAnchor="page" w:hAnchor="page" w:x="7801" w:y="601" w:anchorLock="1"/>
        </w:pPr>
        <w:r>
          <w:t>18 December 2024</w:t>
        </w:r>
      </w:p>
    </w:sdtContent>
  </w:sdt>
  <w:p w14:paraId="732BF09B" w14:textId="19DDFF42" w:rsidR="004B0CAE" w:rsidRDefault="00750155" w:rsidP="004B0CAE">
    <w:pPr>
      <w:pStyle w:val="ProductDescription"/>
      <w:framePr w:w="11339" w:h="1474" w:hRule="exact" w:hSpace="180" w:wrap="around" w:vAnchor="page" w:hAnchor="page" w:x="401" w:y="1141" w:anchorLock="1"/>
      <w:spacing w:after="200"/>
    </w:pPr>
    <w:r>
      <w:t>Monthly inflation forecast</w:t>
    </w:r>
    <w:r w:rsidR="004B0CAE">
      <w:t xml:space="preserve"> | </w:t>
    </w:r>
    <w:r>
      <w:t>UK</w:t>
    </w:r>
  </w:p>
  <w:p w14:paraId="73F30A6E" w14:textId="7B8453E1" w:rsidR="004B0CAE" w:rsidRDefault="004A72E5" w:rsidP="004B0CAE">
    <w:pPr>
      <w:pStyle w:val="Headline"/>
      <w:framePr w:w="11339" w:h="1474" w:hRule="exact" w:hSpace="180" w:wrap="around" w:vAnchor="page" w:hAnchor="page" w:x="401" w:y="1141" w:anchorLock="1"/>
      <w:spacing w:line="200" w:lineRule="auto"/>
    </w:pPr>
    <w:r>
      <w:t>Inflationary pressures set to strengthen in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AE"/>
    <w:rsid w:val="00003BA7"/>
    <w:rsid w:val="00022761"/>
    <w:rsid w:val="00044427"/>
    <w:rsid w:val="0005491E"/>
    <w:rsid w:val="000C0ADF"/>
    <w:rsid w:val="000C70CB"/>
    <w:rsid w:val="000D3E43"/>
    <w:rsid w:val="000E2BD3"/>
    <w:rsid w:val="000F3F52"/>
    <w:rsid w:val="00100F72"/>
    <w:rsid w:val="001018E9"/>
    <w:rsid w:val="00120D7A"/>
    <w:rsid w:val="00124E58"/>
    <w:rsid w:val="00160F71"/>
    <w:rsid w:val="0016316B"/>
    <w:rsid w:val="0017078A"/>
    <w:rsid w:val="00190C04"/>
    <w:rsid w:val="00192CDF"/>
    <w:rsid w:val="00195344"/>
    <w:rsid w:val="001A5775"/>
    <w:rsid w:val="001A6993"/>
    <w:rsid w:val="001A749F"/>
    <w:rsid w:val="001B2B67"/>
    <w:rsid w:val="001B2C32"/>
    <w:rsid w:val="001D7057"/>
    <w:rsid w:val="001E0785"/>
    <w:rsid w:val="001E0C4A"/>
    <w:rsid w:val="001F3317"/>
    <w:rsid w:val="0021284A"/>
    <w:rsid w:val="00242E5E"/>
    <w:rsid w:val="002615F6"/>
    <w:rsid w:val="00262D94"/>
    <w:rsid w:val="00263E48"/>
    <w:rsid w:val="002745D6"/>
    <w:rsid w:val="00282A8A"/>
    <w:rsid w:val="00286754"/>
    <w:rsid w:val="0029566B"/>
    <w:rsid w:val="002C1955"/>
    <w:rsid w:val="002D0DC9"/>
    <w:rsid w:val="002F0BCB"/>
    <w:rsid w:val="003017D9"/>
    <w:rsid w:val="0031169C"/>
    <w:rsid w:val="00316CBE"/>
    <w:rsid w:val="00320DCF"/>
    <w:rsid w:val="00370974"/>
    <w:rsid w:val="00374E02"/>
    <w:rsid w:val="003B0CAB"/>
    <w:rsid w:val="003B715A"/>
    <w:rsid w:val="003C1BB1"/>
    <w:rsid w:val="003E7F3C"/>
    <w:rsid w:val="003F0F4E"/>
    <w:rsid w:val="0040359C"/>
    <w:rsid w:val="00405A12"/>
    <w:rsid w:val="00405D65"/>
    <w:rsid w:val="004258C9"/>
    <w:rsid w:val="004458BB"/>
    <w:rsid w:val="0044762C"/>
    <w:rsid w:val="004602D9"/>
    <w:rsid w:val="0046292D"/>
    <w:rsid w:val="004677EA"/>
    <w:rsid w:val="004827E3"/>
    <w:rsid w:val="00482883"/>
    <w:rsid w:val="00482DE8"/>
    <w:rsid w:val="00490372"/>
    <w:rsid w:val="00495DE7"/>
    <w:rsid w:val="004A2A92"/>
    <w:rsid w:val="004A72E5"/>
    <w:rsid w:val="004B0CAE"/>
    <w:rsid w:val="004B4F66"/>
    <w:rsid w:val="004C7923"/>
    <w:rsid w:val="004D473F"/>
    <w:rsid w:val="004D5B83"/>
    <w:rsid w:val="004D650E"/>
    <w:rsid w:val="005023E6"/>
    <w:rsid w:val="005037F3"/>
    <w:rsid w:val="005176F2"/>
    <w:rsid w:val="00535C71"/>
    <w:rsid w:val="005414BA"/>
    <w:rsid w:val="0054280C"/>
    <w:rsid w:val="005473C6"/>
    <w:rsid w:val="0056084A"/>
    <w:rsid w:val="00563FEB"/>
    <w:rsid w:val="00576CB8"/>
    <w:rsid w:val="00592138"/>
    <w:rsid w:val="005E443D"/>
    <w:rsid w:val="005F0616"/>
    <w:rsid w:val="006125A3"/>
    <w:rsid w:val="006166EE"/>
    <w:rsid w:val="00671564"/>
    <w:rsid w:val="006739BF"/>
    <w:rsid w:val="0067595A"/>
    <w:rsid w:val="006968CE"/>
    <w:rsid w:val="006A1630"/>
    <w:rsid w:val="006A676D"/>
    <w:rsid w:val="006B76A5"/>
    <w:rsid w:val="006C4AC7"/>
    <w:rsid w:val="006C7C06"/>
    <w:rsid w:val="006F60F1"/>
    <w:rsid w:val="00707047"/>
    <w:rsid w:val="00750155"/>
    <w:rsid w:val="007723AE"/>
    <w:rsid w:val="007A0F18"/>
    <w:rsid w:val="007B57CD"/>
    <w:rsid w:val="007F5D5D"/>
    <w:rsid w:val="00847933"/>
    <w:rsid w:val="00855D68"/>
    <w:rsid w:val="00857674"/>
    <w:rsid w:val="0086090E"/>
    <w:rsid w:val="00874B7C"/>
    <w:rsid w:val="0088455B"/>
    <w:rsid w:val="008D4F08"/>
    <w:rsid w:val="008E0A97"/>
    <w:rsid w:val="008E11F0"/>
    <w:rsid w:val="008E721D"/>
    <w:rsid w:val="008F1A70"/>
    <w:rsid w:val="00920D15"/>
    <w:rsid w:val="00933B30"/>
    <w:rsid w:val="009634AC"/>
    <w:rsid w:val="00963AA5"/>
    <w:rsid w:val="00995E6B"/>
    <w:rsid w:val="009B723B"/>
    <w:rsid w:val="009C7C16"/>
    <w:rsid w:val="009E07F1"/>
    <w:rsid w:val="009E5F70"/>
    <w:rsid w:val="009F37D1"/>
    <w:rsid w:val="009F3F01"/>
    <w:rsid w:val="00A25234"/>
    <w:rsid w:val="00A332D4"/>
    <w:rsid w:val="00A50835"/>
    <w:rsid w:val="00A52669"/>
    <w:rsid w:val="00A576A0"/>
    <w:rsid w:val="00A63323"/>
    <w:rsid w:val="00A66B32"/>
    <w:rsid w:val="00A71AFE"/>
    <w:rsid w:val="00A77085"/>
    <w:rsid w:val="00A9430E"/>
    <w:rsid w:val="00AB24B7"/>
    <w:rsid w:val="00AB6B99"/>
    <w:rsid w:val="00AD07ED"/>
    <w:rsid w:val="00AE76E6"/>
    <w:rsid w:val="00AF37E7"/>
    <w:rsid w:val="00B04E07"/>
    <w:rsid w:val="00B16B5A"/>
    <w:rsid w:val="00B7343B"/>
    <w:rsid w:val="00B846EA"/>
    <w:rsid w:val="00B910EA"/>
    <w:rsid w:val="00BB6195"/>
    <w:rsid w:val="00BE1485"/>
    <w:rsid w:val="00BF6A2A"/>
    <w:rsid w:val="00C1220A"/>
    <w:rsid w:val="00C17065"/>
    <w:rsid w:val="00C65A69"/>
    <w:rsid w:val="00C71A9B"/>
    <w:rsid w:val="00C72052"/>
    <w:rsid w:val="00C75153"/>
    <w:rsid w:val="00C76458"/>
    <w:rsid w:val="00C84AD7"/>
    <w:rsid w:val="00C90D41"/>
    <w:rsid w:val="00C93538"/>
    <w:rsid w:val="00C9768F"/>
    <w:rsid w:val="00CA4BF3"/>
    <w:rsid w:val="00CB23EC"/>
    <w:rsid w:val="00CB7716"/>
    <w:rsid w:val="00CC3321"/>
    <w:rsid w:val="00CE3160"/>
    <w:rsid w:val="00D01AEE"/>
    <w:rsid w:val="00D379EC"/>
    <w:rsid w:val="00D44219"/>
    <w:rsid w:val="00D645EE"/>
    <w:rsid w:val="00D82250"/>
    <w:rsid w:val="00D96CAB"/>
    <w:rsid w:val="00DB0BE6"/>
    <w:rsid w:val="00DC3B6C"/>
    <w:rsid w:val="00DE568D"/>
    <w:rsid w:val="00DF68CB"/>
    <w:rsid w:val="00DF73F9"/>
    <w:rsid w:val="00E10235"/>
    <w:rsid w:val="00E213A8"/>
    <w:rsid w:val="00E23560"/>
    <w:rsid w:val="00EA0803"/>
    <w:rsid w:val="00EA2025"/>
    <w:rsid w:val="00EA34C2"/>
    <w:rsid w:val="00EC10CA"/>
    <w:rsid w:val="00ED615F"/>
    <w:rsid w:val="00ED6FF0"/>
    <w:rsid w:val="00F2643F"/>
    <w:rsid w:val="00F52C66"/>
    <w:rsid w:val="00F72F2A"/>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B68248"/>
  <w15:chartTrackingRefBased/>
  <w15:docId w15:val="{5F4AD979-417B-44B8-B385-467F9BD9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CAE"/>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4B0CA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B0CAE"/>
    <w:pPr>
      <w:outlineLvl w:val="1"/>
    </w:pPr>
    <w:rPr>
      <w:sz w:val="28"/>
    </w:rPr>
  </w:style>
  <w:style w:type="paragraph" w:styleId="Heading3">
    <w:name w:val="heading 3"/>
    <w:basedOn w:val="Normal"/>
    <w:next w:val="Normal"/>
    <w:link w:val="Heading3Char"/>
    <w:uiPriority w:val="9"/>
    <w:unhideWhenUsed/>
    <w:qFormat/>
    <w:rsid w:val="004B0CA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B0CA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B0CA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B0CA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B0CA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B0CA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B0CA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4B0CAE"/>
    <w:rPr>
      <w:noProof w:val="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0CAE"/>
  </w:style>
  <w:style w:type="paragraph" w:styleId="Header">
    <w:name w:val="header"/>
    <w:basedOn w:val="Normal"/>
    <w:link w:val="HeaderChar"/>
    <w:uiPriority w:val="99"/>
    <w:unhideWhenUsed/>
    <w:locked/>
    <w:rsid w:val="004B0CAE"/>
    <w:pPr>
      <w:tabs>
        <w:tab w:val="center" w:pos="4320"/>
        <w:tab w:val="right" w:pos="8640"/>
      </w:tabs>
    </w:pPr>
  </w:style>
  <w:style w:type="character" w:customStyle="1" w:styleId="HeaderChar">
    <w:name w:val="Header Char"/>
    <w:basedOn w:val="DefaultParagraphFont"/>
    <w:link w:val="Header"/>
    <w:uiPriority w:val="99"/>
    <w:rsid w:val="004B0CAE"/>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4B0CAE"/>
    <w:pPr>
      <w:tabs>
        <w:tab w:val="center" w:pos="4320"/>
        <w:tab w:val="right" w:pos="8640"/>
      </w:tabs>
    </w:pPr>
  </w:style>
  <w:style w:type="character" w:customStyle="1" w:styleId="FooterChar">
    <w:name w:val="Footer Char"/>
    <w:basedOn w:val="DefaultParagraphFont"/>
    <w:link w:val="Footer"/>
    <w:uiPriority w:val="99"/>
    <w:rsid w:val="004B0CAE"/>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4B0CAE"/>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4B0CAE"/>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4B0CAE"/>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4B0CAE"/>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4B0CAE"/>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4B0CAE"/>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4B0CAE"/>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4B0CAE"/>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B0CAE"/>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4B0CAE"/>
    <w:rPr>
      <w:noProof w:val="0"/>
    </w:rPr>
  </w:style>
  <w:style w:type="character" w:styleId="Hyperlink">
    <w:name w:val="Hyperlink"/>
    <w:basedOn w:val="DefaultParagraphFont"/>
    <w:uiPriority w:val="99"/>
    <w:unhideWhenUsed/>
    <w:rsid w:val="004B0CAE"/>
    <w:rPr>
      <w:noProof w:val="0"/>
      <w:color w:val="0563C1" w:themeColor="hyperlink"/>
      <w:u w:val="single"/>
    </w:rPr>
  </w:style>
  <w:style w:type="paragraph" w:styleId="ListParagraph">
    <w:name w:val="List Paragraph"/>
    <w:next w:val="Normal"/>
    <w:link w:val="ListParagraphChar"/>
    <w:uiPriority w:val="34"/>
    <w:locked/>
    <w:rsid w:val="004B0CAE"/>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4B0CAE"/>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4B0CAE"/>
    <w:pPr>
      <w:spacing w:after="120"/>
    </w:pPr>
    <w:rPr>
      <w:b/>
      <w:bCs/>
      <w:color w:val="FFFFFF"/>
      <w:sz w:val="32"/>
      <w:szCs w:val="32"/>
    </w:rPr>
  </w:style>
  <w:style w:type="paragraph" w:customStyle="1" w:styleId="Headline">
    <w:name w:val="Headline"/>
    <w:basedOn w:val="Normal"/>
    <w:next w:val="Normal"/>
    <w:link w:val="HeadlineChar"/>
    <w:qFormat/>
    <w:rsid w:val="004B0CAE"/>
    <w:rPr>
      <w:rFonts w:ascii="Segoe UI Semilight" w:hAnsi="Segoe UI Semilight" w:cs="Segoe UI Semilight"/>
      <w:b/>
      <w:bCs/>
      <w:color w:val="FFFFFF"/>
      <w:sz w:val="40"/>
      <w:szCs w:val="40"/>
    </w:rPr>
  </w:style>
  <w:style w:type="paragraph" w:customStyle="1" w:styleId="ExhibitTitle">
    <w:name w:val="Exhibit Title"/>
    <w:basedOn w:val="Normal"/>
    <w:qFormat/>
    <w:rsid w:val="004B0CA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B0CAE"/>
    <w:pPr>
      <w:shd w:val="clear" w:color="auto" w:fill="D6E2FA"/>
      <w:spacing w:after="0"/>
    </w:pPr>
    <w:rPr>
      <w:color w:val="595959" w:themeColor="text1" w:themeTint="A6"/>
      <w:sz w:val="18"/>
    </w:rPr>
  </w:style>
  <w:style w:type="paragraph" w:customStyle="1" w:styleId="ExhibitSource">
    <w:name w:val="Exhibit Source"/>
    <w:next w:val="Normal"/>
    <w:qFormat/>
    <w:rsid w:val="004B0CA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4B0CAE"/>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4B0CAE"/>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4B0CAE"/>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4B0CA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B0CAE"/>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4B0CAE"/>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4B0CAE"/>
    <w:rPr>
      <w:rFonts w:ascii="Segoe UI" w:hAnsi="Segoe UI" w:cs="Segoe UI"/>
      <w:noProof w:val="0"/>
      <w:color w:val="000000" w:themeColor="text1"/>
    </w:rPr>
  </w:style>
  <w:style w:type="paragraph" w:customStyle="1" w:styleId="Summary">
    <w:name w:val="Summary"/>
    <w:basedOn w:val="Normal"/>
    <w:link w:val="SummaryChar"/>
    <w:qFormat/>
    <w:rsid w:val="004B0CAE"/>
    <w:pPr>
      <w:numPr>
        <w:numId w:val="1"/>
      </w:numPr>
      <w:ind w:left="1797" w:hanging="357"/>
    </w:pPr>
    <w:rPr>
      <w:kern w:val="2"/>
      <w:sz w:val="22"/>
      <w14:ligatures w14:val="standardContextual"/>
    </w:rPr>
  </w:style>
  <w:style w:type="paragraph" w:customStyle="1" w:styleId="TableData">
    <w:name w:val="Table Data"/>
    <w:link w:val="TableDataChar"/>
    <w:qFormat/>
    <w:rsid w:val="004B0CAE"/>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4B0CAE"/>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4B0CAE"/>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4B0CAE"/>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4B0CAE"/>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4B0CAE"/>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4B0CAE"/>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4B0CAE"/>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4B0CAE"/>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4B0CAE"/>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4B0CAE"/>
    <w:rPr>
      <w:color w:val="003469"/>
    </w:rPr>
  </w:style>
  <w:style w:type="character" w:customStyle="1" w:styleId="RepeatingFooterChar">
    <w:name w:val="Repeating Footer Char"/>
    <w:basedOn w:val="FooterChar"/>
    <w:link w:val="RepeatingFooter"/>
    <w:rsid w:val="004B0CAE"/>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4B0CAE"/>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4B0CAE"/>
    <w:rPr>
      <w:b/>
      <w:bCs/>
      <w:noProof w:val="0"/>
    </w:rPr>
  </w:style>
  <w:style w:type="character" w:customStyle="1" w:styleId="Italics">
    <w:name w:val="Italics"/>
    <w:uiPriority w:val="1"/>
    <w:qFormat/>
    <w:rsid w:val="004B0CAE"/>
    <w:rPr>
      <w:i/>
      <w:iCs/>
      <w:noProof w:val="0"/>
    </w:rPr>
  </w:style>
  <w:style w:type="table" w:customStyle="1" w:styleId="TableGridHeader">
    <w:name w:val="Table Grid Header"/>
    <w:basedOn w:val="TableNormal"/>
    <w:uiPriority w:val="99"/>
    <w:rsid w:val="004B0CAE"/>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A196FA0C-47DC-442A-990D-398B1DF67829}"/>
      </w:docPartPr>
      <w:docPartBody>
        <w:p w:rsidR="00706555" w:rsidRDefault="00706555">
          <w:r w:rsidRPr="004C54D4">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55"/>
    <w:rsid w:val="007065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377</Words>
  <Characters>1830</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27</cp:revision>
  <dcterms:created xsi:type="dcterms:W3CDTF">2024-12-18T10:07:00Z</dcterms:created>
  <dcterms:modified xsi:type="dcterms:W3CDTF">2024-12-18T12:13:00Z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v0.8.0.9</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2024-12-18T11:54:09.000Z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v0.8.0.9</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Team\Inflation Model\20241218 Inflation Forecast.xlsx</vt:lpwstr>
  </property>
  <property fmtid="{D5CDD505-2E9C-101B-9397-08002B2CF9AE}" pid="15" name="OEP_CHART1">
    <vt:lpwstr>Conts to CPI fcst chart,Z:\UK Team\Inflation Model\20241218 Inflation Forecast.xlsx</vt:lpwstr>
  </property>
  <property fmtid="{D5CDD505-2E9C-101B-9397-08002B2CF9AE}" pid="16" name="OEP_DATA_FILEPATH">
    <vt:lpwstr>Z:\UK Team\Inflation Model\20241218 UK IF.xlsx</vt:lpwstr>
  </property>
  <property fmtid="{D5CDD505-2E9C-101B-9397-08002B2CF9AE}" pid="17" name="OEP_CHART1_DATA">
    <vt:lpwstr>Conts to CPI fcst chart,Z:\UK Team\Inflation Model\20241218 Inflation Forecast.xlsx</vt:lpwstr>
  </property>
  <property fmtid="{D5CDD505-2E9C-101B-9397-08002B2CF9AE}" pid="18" name="OEP_CATEGORIES">
    <vt:lpwstr>AnalysisbyRegion-Europe-UnitedKingdom,Macro-UKMonthlyInflation</vt:lpwstr>
  </property>
  <property fmtid="{D5CDD505-2E9C-101B-9397-08002B2CF9AE}" pid="19" name="OEP_TAGS">
    <vt:lpwstr>Key Themes:inflation</vt:lpwstr>
  </property>
  <property fmtid="{D5CDD505-2E9C-101B-9397-08002B2CF9AE}" pid="20" name="OEP_PRODUCT_CODE">
    <vt:lpwstr>F36b7deCe9AB43ef9Df2DE</vt:lpwstr>
  </property>
  <property fmtid="{D5CDD505-2E9C-101B-9397-08002B2CF9AE}" pid="21" name="OEP_PUBLISH_DATE">
    <vt:lpwstr/>
  </property>
</Properties>
</file>